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hint="eastAsia" w:cs="宋体" w:asciiTheme="minorEastAsia" w:hAnsiTheme="minorEastAsia"/>
          <w:color w:val="000000"/>
          <w:spacing w:val="8"/>
          <w:kern w:val="0"/>
          <w:sz w:val="27"/>
          <w:szCs w:val="27"/>
        </w:rPr>
      </w:pPr>
      <w:bookmarkStart w:id="0" w:name="_GoBack"/>
      <w:bookmarkEnd w:id="0"/>
      <w:r>
        <w:rPr>
          <w:rFonts w:hint="eastAsia" w:cs="宋体" w:asciiTheme="minorEastAsia" w:hAnsiTheme="minorEastAsia"/>
          <w:b/>
          <w:bCs/>
          <w:color w:val="195894"/>
          <w:spacing w:val="8"/>
          <w:kern w:val="0"/>
          <w:sz w:val="27"/>
          <w:szCs w:val="27"/>
        </w:rPr>
        <w:t>中国人类遗传资源采集行政许可</w:t>
      </w:r>
    </w:p>
    <w:p>
      <w:pPr>
        <w:widowControl/>
        <w:shd w:val="clear" w:color="auto" w:fill="FFFFFF"/>
        <w:spacing w:line="34" w:lineRule="atLeast"/>
        <w:jc w:val="center"/>
        <w:outlineLvl w:val="1"/>
        <w:rPr>
          <w:rFonts w:hint="eastAsia" w:cs="宋体" w:asciiTheme="minorEastAsia" w:hAnsiTheme="minorEastAsia"/>
          <w:b/>
          <w:bCs/>
          <w:color w:val="000000"/>
          <w:spacing w:val="8"/>
          <w:kern w:val="0"/>
          <w:sz w:val="24"/>
          <w:szCs w:val="24"/>
        </w:rPr>
      </w:pPr>
      <w:r>
        <w:rPr>
          <w:rFonts w:hint="eastAsia" w:cs="宋体" w:asciiTheme="minorEastAsia" w:hAnsiTheme="minorEastAsia"/>
          <w:b/>
          <w:bCs/>
          <w:color w:val="195894"/>
          <w:spacing w:val="8"/>
          <w:kern w:val="0"/>
          <w:sz w:val="27"/>
          <w:szCs w:val="27"/>
        </w:rPr>
        <w:t>事项服务指南</w:t>
      </w:r>
    </w:p>
    <w:p>
      <w:pPr>
        <w:widowControl/>
        <w:shd w:val="clear" w:color="auto" w:fill="FFFFFF"/>
        <w:rPr>
          <w:rFonts w:hint="eastAsia" w:cs="宋体" w:asciiTheme="minorEastAsia" w:hAnsiTheme="minorEastAsia"/>
          <w:color w:val="000000"/>
          <w:spacing w:val="8"/>
          <w:kern w:val="0"/>
          <w:sz w:val="27"/>
          <w:szCs w:val="27"/>
        </w:rPr>
      </w:pPr>
    </w:p>
    <w:p>
      <w:pPr>
        <w:widowControl/>
        <w:numPr>
          <w:ilvl w:val="0"/>
          <w:numId w:val="1"/>
        </w:numPr>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适用范围</w:t>
      </w:r>
    </w:p>
    <w:p>
      <w:pPr>
        <w:widowControl/>
        <w:numPr>
          <w:ilvl w:val="0"/>
          <w:numId w:val="0"/>
        </w:numPr>
        <w:spacing w:line="360" w:lineRule="auto"/>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本许可适用于在我国境内开展的中国人类遗传资源采集活动，包括重要遗传家系人类遗传资源采集活动、特定地区人类遗传资源采集活动和用于大规模人群研究且人数大于3000例的人类遗传资源采集活动的规范和管理。所称人类遗传资源包括人类遗传资源材料和人类遗传资源信息。</w:t>
      </w:r>
    </w:p>
    <w:p>
      <w:pPr>
        <w:widowControl/>
        <w:numPr>
          <w:ilvl w:val="0"/>
          <w:numId w:val="0"/>
        </w:numPr>
        <w:spacing w:line="360" w:lineRule="auto"/>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重要遗传家系是指患有遗传性疾病、具有遗传性特殊体质或者生理特征的有血缘关系的群体，且该群体中患有遗传性疾病、具有遗传性特殊体质或者生理特征的成员涉及三代或者三代以上，高血压、糖尿病、红绿色盲、血友病等常见疾病不在此列。</w:t>
      </w:r>
    </w:p>
    <w:p>
      <w:pPr>
        <w:widowControl/>
        <w:numPr>
          <w:ilvl w:val="0"/>
          <w:numId w:val="0"/>
        </w:numPr>
        <w:spacing w:line="360" w:lineRule="auto"/>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特定地区人类遗传资源是指在隔离或者特殊环境下长期生活，并具有特殊体质特征或者在生理特征方面有适应性性状发生的人类遗传资源。特定地区不以是否为少数民族聚居区为划分依据。大</w:t>
      </w:r>
    </w:p>
    <w:p>
      <w:pPr>
        <w:widowControl/>
        <w:numPr>
          <w:ilvl w:val="0"/>
          <w:numId w:val="0"/>
        </w:numPr>
        <w:spacing w:line="360" w:lineRule="auto"/>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规模人群研究且人数大于3000例的采集活动包括但不限于队列研究、横断面研究、临床研究、体质学研究等。</w:t>
      </w:r>
    </w:p>
    <w:p>
      <w:pPr>
        <w:widowControl/>
        <w:numPr>
          <w:ilvl w:val="0"/>
          <w:numId w:val="0"/>
        </w:numPr>
        <w:spacing w:line="360" w:lineRule="auto"/>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为获得相关药品和医疗器械在我国上市许可的临床研究涉及的采集活动不在此列，无需申报采集审批。</w:t>
      </w:r>
      <w:r>
        <w:rPr>
          <w:rFonts w:hint="eastAsia" w:cs="宋体" w:asciiTheme="minorEastAsia" w:hAnsiTheme="minorEastAsia"/>
          <w:kern w:val="0"/>
          <w:sz w:val="24"/>
          <w:szCs w:val="24"/>
          <w:u w:val="single"/>
        </w:rPr>
        <w:t>应当申请行政许可的人类遗传资源保藏活动同时涉及人类遗传资源采集的，申请人仅需要申请人类遗传资源保藏行政许可，无需另行申请人类遗传资源采集行政许可</w:t>
      </w:r>
      <w:r>
        <w:rPr>
          <w:rFonts w:hint="eastAsia" w:cs="宋体" w:asciiTheme="minorEastAsia" w:hAnsiTheme="minorEastAsia"/>
          <w:kern w:val="0"/>
          <w:sz w:val="24"/>
          <w:szCs w:val="24"/>
        </w:rPr>
        <w:t>。</w:t>
      </w:r>
    </w:p>
    <w:p>
      <w:pPr>
        <w:widowControl/>
        <w:numPr>
          <w:ilvl w:val="0"/>
          <w:numId w:val="0"/>
        </w:numPr>
        <w:spacing w:line="360" w:lineRule="auto"/>
        <w:ind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人类遗传资源材料包括所有类型细胞、全血、组织</w:t>
      </w:r>
      <w:r>
        <w:rPr>
          <w:rFonts w:cs="Times New Roman" w:asciiTheme="minorEastAsia" w:hAnsiTheme="minorEastAsia"/>
          <w:kern w:val="0"/>
          <w:sz w:val="24"/>
          <w:szCs w:val="24"/>
        </w:rPr>
        <w:t>/</w:t>
      </w:r>
      <w:r>
        <w:rPr>
          <w:rFonts w:hint="eastAsia" w:cs="宋体" w:asciiTheme="minorEastAsia" w:hAnsiTheme="minorEastAsia"/>
          <w:kern w:val="0"/>
          <w:sz w:val="24"/>
          <w:szCs w:val="24"/>
        </w:rPr>
        <w:t>组织切片、精液、脑脊液、胸</w:t>
      </w:r>
      <w:r>
        <w:rPr>
          <w:rFonts w:cs="Times New Roman" w:asciiTheme="minorEastAsia" w:hAnsiTheme="minorEastAsia"/>
          <w:kern w:val="0"/>
          <w:sz w:val="24"/>
          <w:szCs w:val="24"/>
        </w:rPr>
        <w:t>/</w:t>
      </w:r>
      <w:r>
        <w:rPr>
          <w:rFonts w:hint="eastAsia" w:cs="宋体" w:asciiTheme="minorEastAsia" w:hAnsiTheme="minorEastAsia"/>
          <w:kern w:val="0"/>
          <w:sz w:val="24"/>
          <w:szCs w:val="24"/>
        </w:rPr>
        <w:t>腹腔积液、血</w:t>
      </w:r>
      <w:r>
        <w:rPr>
          <w:rFonts w:cs="Times New Roman" w:asciiTheme="minorEastAsia" w:hAnsiTheme="minorEastAsia"/>
          <w:kern w:val="0"/>
          <w:sz w:val="24"/>
          <w:szCs w:val="24"/>
        </w:rPr>
        <w:t>/</w:t>
      </w:r>
      <w:r>
        <w:rPr>
          <w:rFonts w:hint="eastAsia" w:cs="宋体" w:asciiTheme="minorEastAsia" w:hAnsiTheme="minorEastAsia"/>
          <w:kern w:val="0"/>
          <w:sz w:val="24"/>
          <w:szCs w:val="24"/>
        </w:rPr>
        <w:t>骨髓涂片、毛发（带毛囊）等，其他不含细胞的人体分泌物、体液、拭子等无需申报。人类遗传资源信息包括基因、基因组、转录组、表观组及</w:t>
      </w:r>
      <w:r>
        <w:rPr>
          <w:rFonts w:cs="Times New Roman" w:asciiTheme="minorEastAsia" w:hAnsiTheme="minorEastAsia"/>
          <w:kern w:val="0"/>
          <w:sz w:val="24"/>
          <w:szCs w:val="24"/>
        </w:rPr>
        <w:t>ctDNA</w:t>
      </w:r>
      <w:r>
        <w:rPr>
          <w:rFonts w:hint="eastAsia" w:cs="宋体" w:asciiTheme="minorEastAsia" w:hAnsiTheme="minorEastAsia"/>
          <w:kern w:val="0"/>
          <w:sz w:val="24"/>
          <w:szCs w:val="24"/>
        </w:rPr>
        <w:t>等核酸类生物标志物等数据信息，以及与此数据相关的疾病、人种等关联信息，其他不含人类遗传资源基因信息数据类型无需申报。为临床诊疗、采供血服务、查处违法犯罪、兴奋剂检测和殡葬等活动需要，对我国人类遗传资源开展采集活动的，依照相关法律、行政法规规定执行，不在本许可的适用范围内。</w:t>
      </w:r>
    </w:p>
    <w:p>
      <w:pPr>
        <w:widowControl/>
        <w:numPr>
          <w:ilvl w:val="0"/>
          <w:numId w:val="1"/>
        </w:numPr>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事项信息</w:t>
      </w:r>
    </w:p>
    <w:p>
      <w:pPr>
        <w:widowControl/>
        <w:numPr>
          <w:ilvl w:val="0"/>
          <w:numId w:val="2"/>
        </w:numPr>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事项名称：中国人类遗传资源采集审批。</w:t>
      </w:r>
    </w:p>
    <w:p>
      <w:pPr>
        <w:widowControl/>
        <w:numPr>
          <w:ilvl w:val="0"/>
          <w:numId w:val="2"/>
        </w:numPr>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审批类别：行政许可。</w:t>
      </w:r>
    </w:p>
    <w:p>
      <w:pPr>
        <w:widowControl/>
        <w:numPr>
          <w:ilvl w:val="0"/>
          <w:numId w:val="2"/>
        </w:numPr>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事项编号：000106101000。</w:t>
      </w:r>
    </w:p>
    <w:p>
      <w:pPr>
        <w:widowControl/>
        <w:numPr>
          <w:ilvl w:val="0"/>
          <w:numId w:val="1"/>
        </w:numPr>
        <w:spacing w:line="360" w:lineRule="auto"/>
        <w:ind w:left="0" w:leftChars="0"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办理依据</w:t>
      </w:r>
    </w:p>
    <w:p>
      <w:pPr>
        <w:widowControl/>
        <w:numPr>
          <w:ilvl w:val="0"/>
          <w:numId w:val="3"/>
        </w:numPr>
        <w:spacing w:line="360" w:lineRule="auto"/>
        <w:ind w:left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《中华人民共和国人类遗传资源管理条例》国令第717号（2019年5月）。</w:t>
      </w:r>
    </w:p>
    <w:p>
      <w:pPr>
        <w:widowControl/>
        <w:numPr>
          <w:ilvl w:val="0"/>
          <w:numId w:val="3"/>
        </w:numPr>
        <w:spacing w:line="360" w:lineRule="auto"/>
        <w:ind w:left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《人类遗传资源管理条例实施细则》科学技术部令第21号（2023年5月）。3.《中华人民共和国行政许可法》主席令第7号（2003年8月）。</w:t>
      </w:r>
    </w:p>
    <w:p>
      <w:pPr>
        <w:widowControl/>
        <w:numPr>
          <w:ilvl w:val="0"/>
          <w:numId w:val="1"/>
        </w:numPr>
        <w:spacing w:line="360" w:lineRule="auto"/>
        <w:ind w:left="0" w:leftChars="0"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受理机构</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科技部</w:t>
      </w:r>
    </w:p>
    <w:p>
      <w:pPr>
        <w:widowControl/>
        <w:numPr>
          <w:ilvl w:val="0"/>
          <w:numId w:val="1"/>
        </w:numPr>
        <w:spacing w:line="360" w:lineRule="auto"/>
        <w:ind w:left="0" w:leftChars="0"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决定机构</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科技部</w:t>
      </w:r>
    </w:p>
    <w:p>
      <w:pPr>
        <w:widowControl/>
        <w:numPr>
          <w:ilvl w:val="0"/>
          <w:numId w:val="1"/>
        </w:numPr>
        <w:spacing w:line="360" w:lineRule="auto"/>
        <w:ind w:left="0" w:leftChars="0"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数量限制</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无数量限制</w:t>
      </w:r>
    </w:p>
    <w:p>
      <w:pPr>
        <w:widowControl/>
        <w:numPr>
          <w:ilvl w:val="0"/>
          <w:numId w:val="1"/>
        </w:numPr>
        <w:spacing w:line="360" w:lineRule="auto"/>
        <w:ind w:left="0" w:leftChars="0"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办事要求</w:t>
      </w:r>
    </w:p>
    <w:p>
      <w:pPr>
        <w:widowControl/>
        <w:numPr>
          <w:ilvl w:val="0"/>
          <w:numId w:val="4"/>
        </w:numPr>
        <w:spacing w:line="360" w:lineRule="auto"/>
        <w:ind w:left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申请人条件具有法人资格的中方单位</w:t>
      </w:r>
    </w:p>
    <w:p>
      <w:pPr>
        <w:widowControl/>
        <w:numPr>
          <w:ilvl w:val="0"/>
          <w:numId w:val="4"/>
        </w:numPr>
        <w:spacing w:line="360" w:lineRule="auto"/>
        <w:ind w:left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审批条件</w:t>
      </w:r>
    </w:p>
    <w:p>
      <w:pPr>
        <w:widowControl/>
        <w:numPr>
          <w:ilvl w:val="0"/>
          <w:numId w:val="5"/>
        </w:numPr>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申请开展中国人类遗传资源采集活动应具备或符合如下条件：（1）具有法人资格；（2）采集目的明确、合法；（3）采集方案合理；（4）通过伦理审查；（5）具有负责人类遗传资源管理的部门和管理制度；（6）具有与采集活动相适应的场所、设施、设备和人员。</w:t>
      </w:r>
    </w:p>
    <w:p>
      <w:pPr>
        <w:widowControl/>
        <w:numPr>
          <w:ilvl w:val="0"/>
          <w:numId w:val="5"/>
        </w:numPr>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禁止性要求：申请开展的我国人类遗传资源采集活动，不符合上述条件的，不予批准。</w:t>
      </w:r>
    </w:p>
    <w:p>
      <w:pPr>
        <w:widowControl/>
        <w:numPr>
          <w:ilvl w:val="0"/>
          <w:numId w:val="4"/>
        </w:numPr>
        <w:spacing w:line="360" w:lineRule="auto"/>
        <w:ind w:left="0" w:leftChars="0"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办理事项类型</w:t>
      </w:r>
    </w:p>
    <w:p>
      <w:pPr>
        <w:widowControl/>
        <w:numPr>
          <w:ilvl w:val="0"/>
          <w:numId w:val="6"/>
        </w:numPr>
        <w:spacing w:line="360" w:lineRule="auto"/>
        <w:ind w:left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新建在我国境内开展重要遗传家系人类遗传资源、特定地区人类遗传资源和用于大规模人群研究且人数大于3000例的人类遗传资源采集活动的，活动开始前应当向科技部申请行政许可。</w:t>
      </w:r>
    </w:p>
    <w:p>
      <w:pPr>
        <w:widowControl/>
        <w:numPr>
          <w:ilvl w:val="0"/>
          <w:numId w:val="6"/>
        </w:numPr>
        <w:spacing w:line="360" w:lineRule="auto"/>
        <w:ind w:left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变更取得人类遗传资源采集行政许可后，采集活动参与单位、采集目的、采集方案或者采集内容等重大事项发生变更的，被许可人应当向科技部提出变更申请。</w:t>
      </w:r>
    </w:p>
    <w:p>
      <w:pPr>
        <w:widowControl/>
        <w:numPr>
          <w:ilvl w:val="0"/>
          <w:numId w:val="6"/>
        </w:numPr>
        <w:spacing w:line="360" w:lineRule="auto"/>
        <w:ind w:left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延续被许可人需要延续行政许可有效期的，应当在该行政许可有效期限届满三十个工作日前向科技部提出申请。科技部应当根据被许可人的申请，在该行政许可有效期限届满前作出是否准予延续的决定；逾期未作出决定的，视为准予延续。</w:t>
      </w:r>
    </w:p>
    <w:p>
      <w:pPr>
        <w:widowControl/>
        <w:numPr>
          <w:ilvl w:val="0"/>
          <w:numId w:val="6"/>
        </w:numPr>
        <w:spacing w:line="360" w:lineRule="auto"/>
        <w:ind w:left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撤销有下列情形之一的，科技部根据利害关系人请求或者依据职权，可以撤销人类遗传资源行政许可：</w:t>
      </w:r>
    </w:p>
    <w:p>
      <w:pPr>
        <w:widowControl/>
        <w:numPr>
          <w:ilvl w:val="0"/>
          <w:numId w:val="7"/>
        </w:numPr>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滥用职权、玩忽职守作出准予行政许可决定的;</w:t>
      </w:r>
    </w:p>
    <w:p>
      <w:pPr>
        <w:widowControl/>
        <w:numPr>
          <w:ilvl w:val="0"/>
          <w:numId w:val="7"/>
        </w:numPr>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超越法定职权作出准予行政许可决定的;</w:t>
      </w:r>
    </w:p>
    <w:p>
      <w:pPr>
        <w:widowControl/>
        <w:numPr>
          <w:ilvl w:val="0"/>
          <w:numId w:val="7"/>
        </w:numPr>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违反法定程序作出准予行政许可决定的;</w:t>
      </w:r>
    </w:p>
    <w:p>
      <w:pPr>
        <w:widowControl/>
        <w:numPr>
          <w:ilvl w:val="0"/>
          <w:numId w:val="7"/>
        </w:numPr>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对不具备申请资格或者不符合法定条件的申请人准予行政许可的;</w:t>
      </w:r>
    </w:p>
    <w:p>
      <w:pPr>
        <w:widowControl/>
        <w:numPr>
          <w:ilvl w:val="0"/>
          <w:numId w:val="7"/>
        </w:numPr>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依法可以撤销行政许可的其他情形。被许可人以欺骗、贿赂等不正当手段取得行政许可的，科技部应当予以撤销。依照前两款的规定撤销行政许可，可能对公共利益造成重大损害的，不予撤销。</w:t>
      </w:r>
    </w:p>
    <w:p>
      <w:pPr>
        <w:widowControl/>
        <w:numPr>
          <w:ilvl w:val="0"/>
          <w:numId w:val="4"/>
        </w:numPr>
        <w:spacing w:line="360" w:lineRule="auto"/>
        <w:ind w:left="0" w:leftChars="0"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办理流程 注：行政许可决定作出前，申请人书面撤回申请的，科技部终止对行政许可申请的审查。</w:t>
      </w:r>
    </w:p>
    <w:p>
      <w:pPr>
        <w:widowControl/>
        <w:numPr>
          <w:ilvl w:val="0"/>
          <w:numId w:val="1"/>
        </w:numPr>
        <w:spacing w:line="360" w:lineRule="auto"/>
        <w:ind w:left="0" w:leftChars="0"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在线申请材料</w:t>
      </w:r>
    </w:p>
    <w:tbl>
      <w:tblPr>
        <w:tblStyle w:val="2"/>
        <w:tblW w:w="10155" w:type="dxa"/>
        <w:tblInd w:w="0" w:type="dxa"/>
        <w:shd w:val="clear" w:color="auto" w:fill="FFFFFF"/>
        <w:tblLayout w:type="autofit"/>
        <w:tblCellMar>
          <w:top w:w="0" w:type="dxa"/>
          <w:left w:w="0" w:type="dxa"/>
          <w:bottom w:w="0" w:type="dxa"/>
          <w:right w:w="0" w:type="dxa"/>
        </w:tblCellMar>
      </w:tblPr>
      <w:tblGrid>
        <w:gridCol w:w="884"/>
        <w:gridCol w:w="2703"/>
        <w:gridCol w:w="6568"/>
      </w:tblGrid>
      <w:tr>
        <w:tblPrEx>
          <w:shd w:val="clear" w:color="auto" w:fill="FFFFFF"/>
          <w:tblCellMar>
            <w:top w:w="0" w:type="dxa"/>
            <w:left w:w="0" w:type="dxa"/>
            <w:bottom w:w="0" w:type="dxa"/>
            <w:right w:w="0" w:type="dxa"/>
          </w:tblCellMar>
        </w:tblPrEx>
        <w:trPr>
          <w:trHeight w:val="660" w:hRule="atLeast"/>
        </w:trPr>
        <w:tc>
          <w:tcPr>
            <w:tcW w:w="52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序号</w:t>
            </w:r>
          </w:p>
        </w:tc>
        <w:tc>
          <w:tcPr>
            <w:tcW w:w="1605"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提交电子材料名称</w:t>
            </w:r>
          </w:p>
        </w:tc>
        <w:tc>
          <w:tcPr>
            <w:tcW w:w="390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要求</w:t>
            </w:r>
          </w:p>
        </w:tc>
      </w:tr>
      <w:tr>
        <w:tblPrEx>
          <w:tblCellMar>
            <w:top w:w="0" w:type="dxa"/>
            <w:left w:w="0" w:type="dxa"/>
            <w:bottom w:w="0" w:type="dxa"/>
            <w:right w:w="0" w:type="dxa"/>
          </w:tblCellMar>
        </w:tblPrEx>
        <w:tc>
          <w:tcPr>
            <w:tcW w:w="52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1</w:t>
            </w:r>
          </w:p>
        </w:tc>
        <w:tc>
          <w:tcPr>
            <w:tcW w:w="160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申请书</w:t>
            </w:r>
          </w:p>
        </w:tc>
        <w:tc>
          <w:tcPr>
            <w:tcW w:w="39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网上平台填写</w:t>
            </w:r>
          </w:p>
        </w:tc>
      </w:tr>
      <w:tr>
        <w:tblPrEx>
          <w:tblCellMar>
            <w:top w:w="0" w:type="dxa"/>
            <w:left w:w="0" w:type="dxa"/>
            <w:bottom w:w="0" w:type="dxa"/>
            <w:right w:w="0" w:type="dxa"/>
          </w:tblCellMar>
        </w:tblPrEx>
        <w:trPr>
          <w:trHeight w:val="345" w:hRule="atLeast"/>
        </w:trPr>
        <w:tc>
          <w:tcPr>
            <w:tcW w:w="52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2</w:t>
            </w:r>
          </w:p>
        </w:tc>
        <w:tc>
          <w:tcPr>
            <w:tcW w:w="160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法人资格材料</w:t>
            </w:r>
          </w:p>
        </w:tc>
        <w:tc>
          <w:tcPr>
            <w:tcW w:w="39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法人资格材料如企业法人营业执照或事业单位法人证书或民办非企业单位登记证书等材料</w:t>
            </w:r>
          </w:p>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作为申请书附件上传</w:t>
            </w:r>
          </w:p>
        </w:tc>
      </w:tr>
      <w:tr>
        <w:tblPrEx>
          <w:tblCellMar>
            <w:top w:w="0" w:type="dxa"/>
            <w:left w:w="0" w:type="dxa"/>
            <w:bottom w:w="0" w:type="dxa"/>
            <w:right w:w="0" w:type="dxa"/>
          </w:tblCellMar>
        </w:tblPrEx>
        <w:trPr>
          <w:trHeight w:val="555" w:hRule="atLeast"/>
        </w:trPr>
        <w:tc>
          <w:tcPr>
            <w:tcW w:w="52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3</w:t>
            </w:r>
          </w:p>
        </w:tc>
        <w:tc>
          <w:tcPr>
            <w:tcW w:w="160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知情同意书文本</w:t>
            </w:r>
          </w:p>
        </w:tc>
        <w:tc>
          <w:tcPr>
            <w:tcW w:w="39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作为申请书附件上传</w:t>
            </w:r>
          </w:p>
        </w:tc>
      </w:tr>
      <w:tr>
        <w:tblPrEx>
          <w:tblCellMar>
            <w:top w:w="0" w:type="dxa"/>
            <w:left w:w="0" w:type="dxa"/>
            <w:bottom w:w="0" w:type="dxa"/>
            <w:right w:w="0" w:type="dxa"/>
          </w:tblCellMar>
        </w:tblPrEx>
        <w:trPr>
          <w:trHeight w:val="720" w:hRule="atLeast"/>
        </w:trPr>
        <w:tc>
          <w:tcPr>
            <w:tcW w:w="52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4</w:t>
            </w:r>
          </w:p>
        </w:tc>
        <w:tc>
          <w:tcPr>
            <w:tcW w:w="160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伦理审查批件</w:t>
            </w:r>
          </w:p>
        </w:tc>
        <w:tc>
          <w:tcPr>
            <w:tcW w:w="39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涉及多中心研究的，不可拆分申报，伦理审查批件应包含审查意见、审查材料清单、签字盖章页、伦理委员会成员签到表等内容。审查材料如涉及版本号和版本日期应注明</w:t>
            </w:r>
          </w:p>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作为申请书附件上传</w:t>
            </w:r>
          </w:p>
        </w:tc>
      </w:tr>
      <w:tr>
        <w:tblPrEx>
          <w:tblCellMar>
            <w:top w:w="0" w:type="dxa"/>
            <w:left w:w="0" w:type="dxa"/>
            <w:bottom w:w="0" w:type="dxa"/>
            <w:right w:w="0" w:type="dxa"/>
          </w:tblCellMar>
        </w:tblPrEx>
        <w:trPr>
          <w:trHeight w:val="780" w:hRule="atLeast"/>
        </w:trPr>
        <w:tc>
          <w:tcPr>
            <w:tcW w:w="52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5</w:t>
            </w:r>
          </w:p>
        </w:tc>
        <w:tc>
          <w:tcPr>
            <w:tcW w:w="160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采集方案</w:t>
            </w:r>
          </w:p>
        </w:tc>
        <w:tc>
          <w:tcPr>
            <w:tcW w:w="39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作为申请书附件上传</w:t>
            </w:r>
          </w:p>
        </w:tc>
      </w:tr>
      <w:tr>
        <w:tblPrEx>
          <w:tblCellMar>
            <w:top w:w="0" w:type="dxa"/>
            <w:left w:w="0" w:type="dxa"/>
            <w:bottom w:w="0" w:type="dxa"/>
            <w:right w:w="0" w:type="dxa"/>
          </w:tblCellMar>
        </w:tblPrEx>
        <w:trPr>
          <w:trHeight w:val="930" w:hRule="atLeast"/>
        </w:trPr>
        <w:tc>
          <w:tcPr>
            <w:tcW w:w="52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6</w:t>
            </w:r>
          </w:p>
        </w:tc>
        <w:tc>
          <w:tcPr>
            <w:tcW w:w="160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人类遗传资源</w:t>
            </w:r>
          </w:p>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管理制度</w:t>
            </w:r>
          </w:p>
        </w:tc>
        <w:tc>
          <w:tcPr>
            <w:tcW w:w="39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作为申请书附件上传</w:t>
            </w:r>
          </w:p>
        </w:tc>
      </w:tr>
      <w:tr>
        <w:tblPrEx>
          <w:tblCellMar>
            <w:top w:w="0" w:type="dxa"/>
            <w:left w:w="0" w:type="dxa"/>
            <w:bottom w:w="0" w:type="dxa"/>
            <w:right w:w="0" w:type="dxa"/>
          </w:tblCellMar>
        </w:tblPrEx>
        <w:trPr>
          <w:trHeight w:val="855" w:hRule="atLeast"/>
        </w:trPr>
        <w:tc>
          <w:tcPr>
            <w:tcW w:w="52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7</w:t>
            </w:r>
          </w:p>
        </w:tc>
        <w:tc>
          <w:tcPr>
            <w:tcW w:w="160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合作协议</w:t>
            </w:r>
          </w:p>
        </w:tc>
        <w:tc>
          <w:tcPr>
            <w:tcW w:w="39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如涉及，请提供签字盖章的协议</w:t>
            </w:r>
          </w:p>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作为申请书附件上传</w:t>
            </w:r>
          </w:p>
        </w:tc>
      </w:tr>
      <w:tr>
        <w:tblPrEx>
          <w:tblCellMar>
            <w:top w:w="0" w:type="dxa"/>
            <w:left w:w="0" w:type="dxa"/>
            <w:bottom w:w="0" w:type="dxa"/>
            <w:right w:w="0" w:type="dxa"/>
          </w:tblCellMar>
        </w:tblPrEx>
        <w:trPr>
          <w:trHeight w:val="855" w:hRule="atLeast"/>
        </w:trPr>
        <w:tc>
          <w:tcPr>
            <w:tcW w:w="52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8</w:t>
            </w:r>
          </w:p>
        </w:tc>
        <w:tc>
          <w:tcPr>
            <w:tcW w:w="1605"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其他证明材料</w:t>
            </w:r>
          </w:p>
        </w:tc>
        <w:tc>
          <w:tcPr>
            <w:tcW w:w="390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如涉及，请提供</w:t>
            </w:r>
          </w:p>
          <w:p>
            <w:pPr>
              <w:widowControl/>
              <w:wordWrap w:val="0"/>
              <w:spacing w:line="23" w:lineRule="atLeast"/>
              <w:jc w:val="center"/>
              <w:rPr>
                <w:rFonts w:cs="宋体" w:asciiTheme="minorEastAsia" w:hAnsiTheme="minorEastAsia"/>
                <w:spacing w:val="8"/>
                <w:kern w:val="0"/>
                <w:sz w:val="26"/>
                <w:szCs w:val="26"/>
              </w:rPr>
            </w:pPr>
            <w:r>
              <w:rPr>
                <w:rFonts w:hint="eastAsia" w:cs="宋体" w:asciiTheme="minorEastAsia" w:hAnsiTheme="minorEastAsia"/>
                <w:spacing w:val="8"/>
                <w:kern w:val="0"/>
                <w:szCs w:val="21"/>
              </w:rPr>
              <w:t>作为申请书附件上传</w:t>
            </w:r>
          </w:p>
        </w:tc>
      </w:tr>
    </w:tbl>
    <w:p>
      <w:pPr>
        <w:widowControl/>
        <w:numPr>
          <w:ilvl w:val="0"/>
          <w:numId w:val="0"/>
        </w:numPr>
        <w:spacing w:line="360" w:lineRule="auto"/>
        <w:ind w:leftChars="0"/>
        <w:jc w:val="left"/>
        <w:rPr>
          <w:rFonts w:hint="eastAsia" w:cs="宋体" w:asciiTheme="minorEastAsia" w:hAnsiTheme="minorEastAsia"/>
          <w:kern w:val="0"/>
          <w:sz w:val="24"/>
          <w:szCs w:val="24"/>
        </w:rPr>
      </w:pPr>
    </w:p>
    <w:p>
      <w:pPr>
        <w:widowControl/>
        <w:numPr>
          <w:ilvl w:val="0"/>
          <w:numId w:val="1"/>
        </w:numPr>
        <w:spacing w:line="360" w:lineRule="auto"/>
        <w:ind w:left="0" w:leftChars="0"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申请接收</w:t>
      </w:r>
      <w:r>
        <w:rPr>
          <w:rFonts w:hint="eastAsia" w:cs="Times New Roman" w:asciiTheme="minorEastAsia" w:hAnsiTheme="minorEastAsia"/>
          <w:kern w:val="0"/>
          <w:sz w:val="24"/>
          <w:szCs w:val="24"/>
        </w:rPr>
        <w:t>电子申请材料</w:t>
      </w:r>
    </w:p>
    <w:p>
      <w:pPr>
        <w:widowControl/>
        <w:numPr>
          <w:ilvl w:val="0"/>
          <w:numId w:val="0"/>
        </w:numPr>
        <w:spacing w:line="360" w:lineRule="auto"/>
        <w:ind w:leftChars="0"/>
        <w:jc w:val="left"/>
        <w:rPr>
          <w:rFonts w:hint="eastAsia" w:cs="宋体" w:asciiTheme="minorEastAsia" w:hAnsiTheme="minorEastAsia"/>
          <w:kern w:val="0"/>
          <w:sz w:val="24"/>
          <w:szCs w:val="24"/>
        </w:rPr>
      </w:pPr>
      <w:r>
        <w:rPr>
          <w:rFonts w:hint="eastAsia" w:cs="Times New Roman" w:asciiTheme="minorEastAsia" w:hAnsiTheme="minorEastAsia"/>
          <w:kern w:val="0"/>
          <w:sz w:val="24"/>
          <w:szCs w:val="24"/>
        </w:rPr>
        <w:t>通过网上平台接收，平台网址：</w:t>
      </w:r>
      <w:r>
        <w:rPr>
          <w:rFonts w:cs="Times New Roman" w:asciiTheme="minorEastAsia" w:hAnsiTheme="minorEastAsia"/>
          <w:kern w:val="0"/>
          <w:sz w:val="24"/>
          <w:szCs w:val="24"/>
        </w:rPr>
        <w:fldChar w:fldCharType="begin"/>
      </w:r>
      <w:r>
        <w:rPr>
          <w:rFonts w:cs="Times New Roman" w:asciiTheme="minorEastAsia" w:hAnsiTheme="minorEastAsia"/>
          <w:kern w:val="0"/>
          <w:sz w:val="24"/>
          <w:szCs w:val="24"/>
        </w:rPr>
        <w:instrText xml:space="preserve"> HYPERLINK "https://www.hgrg.net/login。" </w:instrText>
      </w:r>
      <w:r>
        <w:rPr>
          <w:rFonts w:cs="Times New Roman" w:asciiTheme="minorEastAsia" w:hAnsiTheme="minorEastAsia"/>
          <w:kern w:val="0"/>
          <w:sz w:val="24"/>
          <w:szCs w:val="24"/>
        </w:rPr>
        <w:fldChar w:fldCharType="separate"/>
      </w:r>
      <w:r>
        <w:rPr>
          <w:rStyle w:val="4"/>
          <w:rFonts w:cs="Times New Roman" w:asciiTheme="minorEastAsia" w:hAnsiTheme="minorEastAsia"/>
          <w:kern w:val="0"/>
          <w:sz w:val="24"/>
          <w:szCs w:val="24"/>
        </w:rPr>
        <w:t>https://www.hgrg.net/login</w:t>
      </w:r>
      <w:r>
        <w:rPr>
          <w:rStyle w:val="4"/>
          <w:rFonts w:hint="eastAsia" w:cs="宋体" w:asciiTheme="minorEastAsia" w:hAnsiTheme="minorEastAsia"/>
          <w:kern w:val="0"/>
          <w:sz w:val="24"/>
          <w:szCs w:val="24"/>
        </w:rPr>
        <w:t>。</w:t>
      </w:r>
      <w:r>
        <w:rPr>
          <w:rFonts w:cs="Times New Roman" w:asciiTheme="minorEastAsia" w:hAnsiTheme="minorEastAsia"/>
          <w:kern w:val="0"/>
          <w:sz w:val="24"/>
          <w:szCs w:val="24"/>
        </w:rPr>
        <w:fldChar w:fldCharType="end"/>
      </w:r>
    </w:p>
    <w:p>
      <w:pPr>
        <w:widowControl/>
        <w:numPr>
          <w:ilvl w:val="0"/>
          <w:numId w:val="1"/>
        </w:numPr>
        <w:spacing w:line="360" w:lineRule="auto"/>
        <w:ind w:left="0" w:leftChars="0" w:firstLine="0" w:firstLineChars="0"/>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办理方式</w:t>
      </w:r>
    </w:p>
    <w:p>
      <w:pPr>
        <w:widowControl/>
        <w:numPr>
          <w:ilvl w:val="0"/>
          <w:numId w:val="0"/>
        </w:numPr>
        <w:spacing w:line="360" w:lineRule="auto"/>
        <w:ind w:leftChars="0"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本行政许可按照一般程序办理，包括申请、受理、技术评审、决定和文书送达等。</w:t>
      </w:r>
    </w:p>
    <w:p>
      <w:pPr>
        <w:widowControl/>
        <w:numPr>
          <w:ilvl w:val="0"/>
          <w:numId w:val="8"/>
        </w:numPr>
        <w:spacing w:line="360" w:lineRule="auto"/>
        <w:ind w:leftChars="0" w:firstLine="480" w:firstLineChars="20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网上申请申请单位管理员（法人账号）新建项目，并授权申请人（自然人账号），由申请人登录系统并填报该项目。申请人完成填报，提交单位管理员审核无误后生成申请材料，直接下载并上传签字盖章的审核意见，单位管理员再提交正式申请。</w:t>
      </w:r>
    </w:p>
    <w:p>
      <w:pPr>
        <w:widowControl/>
        <w:numPr>
          <w:ilvl w:val="0"/>
          <w:numId w:val="8"/>
        </w:numPr>
        <w:spacing w:line="360" w:lineRule="auto"/>
        <w:ind w:leftChars="0" w:firstLine="480" w:firstLineChars="200"/>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受理申请人的申请材料齐全、形式符合规定的，科技部应当受理并出具加盖专用印章和注明日期的纸质或者电子凭证。申请材料不齐全或者不符合法定形式的，科技部应当在收到正式申请材料之日起五个工作日内一次性告知申请人需要补正的全部内容。</w:t>
      </w:r>
    </w:p>
    <w:p>
      <w:pPr>
        <w:widowControl/>
        <w:numPr>
          <w:ilvl w:val="0"/>
          <w:numId w:val="8"/>
        </w:numPr>
        <w:spacing w:line="360" w:lineRule="auto"/>
        <w:ind w:leftChars="0" w:firstLine="480" w:firstLineChars="200"/>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技术评审科技部委托中国生物技术发展中心组织专家对受理的申请事项进行技术评审，形成专家评审意见，作为作出行政许可决定的参考依据。</w:t>
      </w:r>
    </w:p>
    <w:p>
      <w:pPr>
        <w:widowControl/>
        <w:numPr>
          <w:ilvl w:val="0"/>
          <w:numId w:val="8"/>
        </w:numPr>
        <w:spacing w:line="360" w:lineRule="auto"/>
        <w:ind w:leftChars="0" w:firstLine="480" w:firstLineChars="200"/>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审批决定科技部根据评审结果，作出批准或不批准的决定。</w:t>
      </w:r>
    </w:p>
    <w:p>
      <w:pPr>
        <w:widowControl/>
        <w:numPr>
          <w:ilvl w:val="0"/>
          <w:numId w:val="8"/>
        </w:numPr>
        <w:spacing w:line="360" w:lineRule="auto"/>
        <w:ind w:leftChars="0" w:firstLine="480" w:firstLineChars="200"/>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结果公布科技部作出的准予行政许可决定，将在科技部网站予以公开。</w:t>
      </w:r>
    </w:p>
    <w:p>
      <w:pPr>
        <w:widowControl/>
        <w:numPr>
          <w:ilvl w:val="0"/>
          <w:numId w:val="8"/>
        </w:numPr>
        <w:spacing w:line="360" w:lineRule="auto"/>
        <w:ind w:leftChars="0" w:firstLine="480" w:firstLineChars="200"/>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送达科技部在10个工作日内通过邮寄或电子送达方式将审批决定书送达申请单位指定的地址或邮箱/网址，同时抄送省级科技行政部门，申请单位可在申报系统查询送达状态。</w:t>
      </w:r>
    </w:p>
    <w:p>
      <w:pPr>
        <w:widowControl/>
        <w:numPr>
          <w:ilvl w:val="0"/>
          <w:numId w:val="1"/>
        </w:numPr>
        <w:spacing w:line="360" w:lineRule="auto"/>
        <w:ind w:left="0" w:leftChars="0"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行政许可证件</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中国人类遗传资源采集审批决定书。</w:t>
      </w:r>
    </w:p>
    <w:p>
      <w:pPr>
        <w:widowControl/>
        <w:numPr>
          <w:ilvl w:val="0"/>
          <w:numId w:val="1"/>
        </w:numPr>
        <w:spacing w:line="360" w:lineRule="auto"/>
        <w:ind w:left="0" w:leftChars="0" w:firstLine="0" w:firstLineChars="0"/>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审批时限</w:t>
      </w:r>
      <w:r>
        <w:rPr>
          <w:rFonts w:hint="eastAsia" w:cs="宋体" w:asciiTheme="minorEastAsia" w:hAnsiTheme="minorEastAsia"/>
          <w:kern w:val="0"/>
          <w:sz w:val="24"/>
          <w:szCs w:val="24"/>
          <w:lang w:val="en-US" w:eastAsia="zh-CN"/>
        </w:rPr>
        <w:t xml:space="preserve"> </w:t>
      </w:r>
    </w:p>
    <w:p>
      <w:pPr>
        <w:widowControl/>
        <w:numPr>
          <w:ilvl w:val="0"/>
          <w:numId w:val="0"/>
        </w:numPr>
        <w:spacing w:line="360" w:lineRule="auto"/>
        <w:ind w:leftChars="0" w:firstLine="480" w:firstLineChars="200"/>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科技部在正式受理后20个工作日内作出批准或不予批准的决定。因特殊原因无法在规定期限内作出审批决定的，经科技部负责人批准，可以延长10个工作日。科技部作出行政许可决定，依法需要听证、检验、检测、检疫、鉴定、技术评审的，所需时间不计算在此期限内，但应当将所需时间书面告知申请人。</w:t>
      </w:r>
    </w:p>
    <w:p>
      <w:pPr>
        <w:widowControl/>
        <w:numPr>
          <w:ilvl w:val="0"/>
          <w:numId w:val="1"/>
        </w:numPr>
        <w:spacing w:line="360" w:lineRule="auto"/>
        <w:ind w:left="0" w:leftChars="0" w:firstLine="0" w:firstLineChars="0"/>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审批收费</w:t>
      </w:r>
      <w:r>
        <w:rPr>
          <w:rFonts w:hint="eastAsia" w:cs="宋体" w:asciiTheme="minorEastAsia" w:hAnsiTheme="minorEastAsia"/>
          <w:kern w:val="0"/>
          <w:sz w:val="24"/>
          <w:szCs w:val="24"/>
          <w:lang w:val="en-US" w:eastAsia="zh-CN"/>
        </w:rPr>
        <w:t xml:space="preserve"> </w:t>
      </w:r>
      <w:r>
        <w:rPr>
          <w:rFonts w:hint="eastAsia" w:cs="宋体" w:asciiTheme="minorEastAsia" w:hAnsiTheme="minorEastAsia"/>
          <w:kern w:val="0"/>
          <w:sz w:val="24"/>
          <w:szCs w:val="24"/>
        </w:rPr>
        <w:t>本审批事项不收费。</w:t>
      </w:r>
    </w:p>
    <w:p>
      <w:pPr>
        <w:widowControl/>
        <w:numPr>
          <w:ilvl w:val="0"/>
          <w:numId w:val="1"/>
        </w:numPr>
        <w:spacing w:line="360" w:lineRule="auto"/>
        <w:ind w:left="0" w:leftChars="0" w:firstLine="0" w:firstLineChars="0"/>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申请人权利和义务</w:t>
      </w:r>
    </w:p>
    <w:p>
      <w:pPr>
        <w:widowControl/>
        <w:numPr>
          <w:ilvl w:val="0"/>
          <w:numId w:val="9"/>
        </w:numPr>
        <w:spacing w:line="360" w:lineRule="auto"/>
        <w:ind w:leftChars="0"/>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依据《中华人民共和国行政许可法》《中华人民共和国人类遗传资源管理条例》《人类遗传资源管理条例实施细则》规定，申请人依法享有如下权利：</w:t>
      </w:r>
    </w:p>
    <w:p>
      <w:pPr>
        <w:widowControl/>
        <w:numPr>
          <w:ilvl w:val="0"/>
          <w:numId w:val="10"/>
        </w:numPr>
        <w:spacing w:line="360" w:lineRule="auto"/>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对行政机关实施的行政许可，享有陈述权、申辩权；其合法权益因行政机关违法实施行政许可受到损害的，有权依法要求赔偿。</w:t>
      </w:r>
    </w:p>
    <w:p>
      <w:pPr>
        <w:widowControl/>
        <w:numPr>
          <w:ilvl w:val="0"/>
          <w:numId w:val="10"/>
        </w:numPr>
        <w:spacing w:line="360" w:lineRule="auto"/>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申请人对审批决定有异议的，可以在收到通知之日起60日内向科技部申请行政复议，也可在收到通知之日起6个月内向人民法院提起诉讼。</w:t>
      </w:r>
    </w:p>
    <w:p>
      <w:pPr>
        <w:widowControl/>
        <w:numPr>
          <w:ilvl w:val="0"/>
          <w:numId w:val="9"/>
        </w:numPr>
        <w:spacing w:line="360" w:lineRule="auto"/>
        <w:ind w:leftChars="0"/>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依据《中华人民共和国行政许可法》《中华人民共和国人类遗传资源管理条例》《人类遗传资源管理条例实施细则》规定，申请人申请行政许可，应当如实向行政机关提交有关材料并反映真实情况，对其申请材料实质内容的真实性负责。申请人在行政申请过程中存在弄虚作假等行为的，科技部将终止对其申请的审查或撤销已作出的审批决定，书面通知其主管部门，并视情节根据《中华人民共和国行政许可法》《中华人民共和国行政处罚法》《中华人民共和国人类遗传资源管理条例》和《人类遗传资源管理条例实施细则》追究其责任。十五、咨询途径（一）窗口咨询：科技部行政审批受理窗口（地址：北京市海淀区西四环中路16号院4号楼1层，中国生物技术发展中心）；</w:t>
      </w:r>
      <w:r>
        <w:rPr>
          <w:rFonts w:cs="Times New Roman" w:asciiTheme="minorEastAsia" w:hAnsiTheme="minorEastAsia"/>
          <w:kern w:val="0"/>
          <w:sz w:val="24"/>
          <w:szCs w:val="24"/>
        </w:rPr>
        <w:t>（二）电子邮件咨询：</w:t>
      </w:r>
      <w:r>
        <w:rPr>
          <w:rFonts w:cs="Times New Roman" w:asciiTheme="minorEastAsia" w:hAnsiTheme="minorEastAsia"/>
          <w:kern w:val="0"/>
          <w:sz w:val="24"/>
          <w:szCs w:val="24"/>
        </w:rPr>
        <w:fldChar w:fldCharType="begin"/>
      </w:r>
      <w:r>
        <w:rPr>
          <w:rFonts w:cs="Times New Roman" w:asciiTheme="minorEastAsia" w:hAnsiTheme="minorEastAsia"/>
          <w:kern w:val="0"/>
          <w:sz w:val="24"/>
          <w:szCs w:val="24"/>
        </w:rPr>
        <w:instrText xml:space="preserve"> HYPERLINK "mailto:ycb@cncbd.org.cn；" </w:instrText>
      </w:r>
      <w:r>
        <w:rPr>
          <w:rFonts w:cs="Times New Roman" w:asciiTheme="minorEastAsia" w:hAnsiTheme="minorEastAsia"/>
          <w:kern w:val="0"/>
          <w:sz w:val="24"/>
          <w:szCs w:val="24"/>
        </w:rPr>
        <w:fldChar w:fldCharType="separate"/>
      </w:r>
      <w:r>
        <w:rPr>
          <w:rStyle w:val="4"/>
          <w:rFonts w:cs="Times New Roman" w:asciiTheme="minorEastAsia" w:hAnsiTheme="minorEastAsia"/>
          <w:kern w:val="0"/>
          <w:sz w:val="24"/>
          <w:szCs w:val="24"/>
        </w:rPr>
        <w:t>ycb@cncbd.org.cn</w:t>
      </w:r>
      <w:r>
        <w:rPr>
          <w:rStyle w:val="4"/>
          <w:rFonts w:hint="eastAsia" w:cs="宋体" w:asciiTheme="minorEastAsia" w:hAnsiTheme="minorEastAsia"/>
          <w:kern w:val="0"/>
          <w:sz w:val="24"/>
          <w:szCs w:val="24"/>
        </w:rPr>
        <w:t>；</w:t>
      </w:r>
      <w:r>
        <w:rPr>
          <w:rFonts w:cs="Times New Roman" w:asciiTheme="minorEastAsia" w:hAnsiTheme="minorEastAsia"/>
          <w:kern w:val="0"/>
          <w:sz w:val="24"/>
          <w:szCs w:val="24"/>
        </w:rPr>
        <w:fldChar w:fldCharType="end"/>
      </w:r>
    </w:p>
    <w:p>
      <w:pPr>
        <w:widowControl/>
        <w:numPr>
          <w:ilvl w:val="0"/>
          <w:numId w:val="9"/>
        </w:numPr>
        <w:spacing w:line="360" w:lineRule="auto"/>
        <w:ind w:leftChars="0"/>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电话咨询：010-88225151/88225168。</w:t>
      </w:r>
    </w:p>
    <w:p>
      <w:pPr>
        <w:widowControl/>
        <w:numPr>
          <w:ilvl w:val="0"/>
          <w:numId w:val="9"/>
        </w:numPr>
        <w:spacing w:line="360" w:lineRule="auto"/>
        <w:ind w:leftChars="0"/>
        <w:jc w:val="left"/>
        <w:rPr>
          <w:rFonts w:cs="宋体" w:asciiTheme="minorEastAsia" w:hAnsiTheme="minorEastAsia"/>
          <w:spacing w:val="8"/>
          <w:kern w:val="0"/>
          <w:sz w:val="24"/>
          <w:szCs w:val="24"/>
        </w:rPr>
      </w:pPr>
      <w:r>
        <w:rPr>
          <w:rFonts w:hint="eastAsia" w:cs="宋体" w:asciiTheme="minorEastAsia" w:hAnsiTheme="minorEastAsia"/>
          <w:kern w:val="0"/>
          <w:sz w:val="24"/>
          <w:szCs w:val="24"/>
        </w:rPr>
        <w:t>咨询时间：工作日8:30—11:30，13:30—16:30。</w:t>
      </w:r>
    </w:p>
    <w:p>
      <w:pPr>
        <w:widowControl/>
        <w:numPr>
          <w:ilvl w:val="0"/>
          <w:numId w:val="1"/>
        </w:numPr>
        <w:spacing w:line="360" w:lineRule="auto"/>
        <w:ind w:left="0" w:leftChars="0" w:firstLine="0" w:firstLine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监督、投诉和举报渠道</w:t>
      </w:r>
    </w:p>
    <w:p>
      <w:pPr>
        <w:widowControl/>
        <w:numPr>
          <w:ilvl w:val="0"/>
          <w:numId w:val="11"/>
        </w:numPr>
        <w:spacing w:line="360" w:lineRule="auto"/>
        <w:ind w:leftChars="0"/>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电话投诉：科技部科技监督与诚信建设司010-68588709；</w:t>
      </w:r>
    </w:p>
    <w:p>
      <w:pPr>
        <w:widowControl/>
        <w:numPr>
          <w:ilvl w:val="0"/>
          <w:numId w:val="11"/>
        </w:numPr>
        <w:spacing w:line="360" w:lineRule="auto"/>
        <w:ind w:leftChars="0"/>
        <w:jc w:val="left"/>
        <w:rPr>
          <w:rFonts w:cs="宋体" w:asciiTheme="minorEastAsia" w:hAnsiTheme="minorEastAsia"/>
          <w:spacing w:val="8"/>
          <w:kern w:val="0"/>
          <w:sz w:val="24"/>
          <w:szCs w:val="24"/>
        </w:rPr>
      </w:pPr>
      <w:r>
        <w:rPr>
          <w:rFonts w:cs="Times New Roman" w:asciiTheme="minorEastAsia" w:hAnsiTheme="minorEastAsia"/>
          <w:kern w:val="0"/>
          <w:sz w:val="24"/>
          <w:szCs w:val="24"/>
        </w:rPr>
        <w:t>电子邮件投诉：</w:t>
      </w:r>
      <w:r>
        <w:rPr>
          <w:rFonts w:cs="Times New Roman" w:asciiTheme="minorEastAsia" w:hAnsiTheme="minorEastAsia"/>
          <w:kern w:val="0"/>
          <w:sz w:val="24"/>
          <w:szCs w:val="24"/>
        </w:rPr>
        <w:fldChar w:fldCharType="begin"/>
      </w:r>
      <w:r>
        <w:rPr>
          <w:rFonts w:cs="Times New Roman" w:asciiTheme="minorEastAsia" w:hAnsiTheme="minorEastAsia"/>
          <w:kern w:val="0"/>
          <w:sz w:val="24"/>
          <w:szCs w:val="24"/>
        </w:rPr>
        <w:instrText xml:space="preserve"> HYPERLINK "mailto:chengxinban@most.cn；" </w:instrText>
      </w:r>
      <w:r>
        <w:rPr>
          <w:rFonts w:cs="Times New Roman" w:asciiTheme="minorEastAsia" w:hAnsiTheme="minorEastAsia"/>
          <w:kern w:val="0"/>
          <w:sz w:val="24"/>
          <w:szCs w:val="24"/>
        </w:rPr>
        <w:fldChar w:fldCharType="separate"/>
      </w:r>
      <w:r>
        <w:rPr>
          <w:rStyle w:val="4"/>
          <w:rFonts w:cs="Times New Roman" w:asciiTheme="minorEastAsia" w:hAnsiTheme="minorEastAsia"/>
          <w:kern w:val="0"/>
          <w:sz w:val="24"/>
          <w:szCs w:val="24"/>
        </w:rPr>
        <w:t>chengxinban@most.cn</w:t>
      </w:r>
      <w:r>
        <w:rPr>
          <w:rStyle w:val="4"/>
          <w:rFonts w:hint="eastAsia" w:cs="宋体" w:asciiTheme="minorEastAsia" w:hAnsiTheme="minorEastAsia"/>
          <w:kern w:val="0"/>
          <w:sz w:val="24"/>
          <w:szCs w:val="24"/>
        </w:rPr>
        <w:t>；</w:t>
      </w:r>
      <w:r>
        <w:rPr>
          <w:rFonts w:cs="Times New Roman" w:asciiTheme="minorEastAsia" w:hAnsiTheme="minorEastAsia"/>
          <w:kern w:val="0"/>
          <w:sz w:val="24"/>
          <w:szCs w:val="24"/>
        </w:rPr>
        <w:fldChar w:fldCharType="end"/>
      </w:r>
    </w:p>
    <w:p>
      <w:pPr>
        <w:widowControl/>
        <w:numPr>
          <w:ilvl w:val="0"/>
          <w:numId w:val="11"/>
        </w:numPr>
        <w:spacing w:line="360" w:lineRule="auto"/>
        <w:ind w:leftChars="0"/>
        <w:jc w:val="left"/>
        <w:rPr>
          <w:rFonts w:cs="宋体" w:asciiTheme="minorEastAsia" w:hAnsiTheme="minorEastAsia"/>
          <w:spacing w:val="8"/>
          <w:kern w:val="0"/>
          <w:sz w:val="24"/>
          <w:szCs w:val="24"/>
        </w:rPr>
      </w:pPr>
      <w:r>
        <w:rPr>
          <w:rFonts w:hint="eastAsia" w:cs="Times New Roman" w:asciiTheme="minorEastAsia" w:hAnsiTheme="minorEastAsia"/>
          <w:kern w:val="0"/>
          <w:sz w:val="24"/>
          <w:szCs w:val="24"/>
        </w:rPr>
        <w:t>信函投诉：科技部科技监督与诚信建设司（地址：北京市复兴路乙</w:t>
      </w:r>
      <w:r>
        <w:rPr>
          <w:rFonts w:cs="Times New Roman" w:asciiTheme="minorEastAsia" w:hAnsiTheme="minorEastAsia"/>
          <w:kern w:val="0"/>
          <w:sz w:val="24"/>
          <w:szCs w:val="24"/>
        </w:rPr>
        <w:t>15</w:t>
      </w:r>
      <w:r>
        <w:rPr>
          <w:rFonts w:hint="eastAsia" w:cs="Times New Roman" w:asciiTheme="minorEastAsia" w:hAnsiTheme="minorEastAsia"/>
          <w:kern w:val="0"/>
          <w:sz w:val="24"/>
          <w:szCs w:val="24"/>
        </w:rPr>
        <w:t>号</w:t>
      </w:r>
      <w:r>
        <w:rPr>
          <w:rFonts w:hint="eastAsia" w:cs="宋体" w:asciiTheme="minorEastAsia" w:hAnsiTheme="minorEastAsia"/>
          <w:kern w:val="0"/>
          <w:sz w:val="24"/>
          <w:szCs w:val="24"/>
        </w:rPr>
        <w:t>）。十七、公开查询</w:t>
      </w:r>
      <w:r>
        <w:rPr>
          <w:rFonts w:hint="eastAsia" w:cs="Times New Roman" w:asciiTheme="minorEastAsia" w:hAnsiTheme="minorEastAsia"/>
          <w:kern w:val="0"/>
          <w:sz w:val="24"/>
          <w:szCs w:val="24"/>
        </w:rPr>
        <w:t>自受理之日起</w:t>
      </w:r>
      <w:r>
        <w:rPr>
          <w:rFonts w:cs="Times New Roman" w:asciiTheme="minorEastAsia" w:hAnsiTheme="minorEastAsia"/>
          <w:kern w:val="0"/>
          <w:sz w:val="24"/>
          <w:szCs w:val="24"/>
        </w:rPr>
        <w:t>20</w:t>
      </w:r>
      <w:r>
        <w:rPr>
          <w:rFonts w:hint="eastAsia" w:cs="Times New Roman" w:asciiTheme="minorEastAsia" w:hAnsiTheme="minorEastAsia"/>
          <w:kern w:val="0"/>
          <w:sz w:val="24"/>
          <w:szCs w:val="24"/>
        </w:rPr>
        <w:t>个工作日后，可通过</w:t>
      </w:r>
      <w:r>
        <w:rPr>
          <w:rFonts w:hint="eastAsia" w:cs="宋体" w:asciiTheme="minorEastAsia" w:hAnsiTheme="minorEastAsia"/>
          <w:kern w:val="0"/>
          <w:sz w:val="24"/>
          <w:szCs w:val="24"/>
        </w:rPr>
        <w:t>人类遗传资源服务系统或科技部网站查询结果。</w:t>
      </w:r>
      <w:r>
        <w:rPr>
          <w:rFonts w:hint="eastAsia" w:cs="宋体" w:asciiTheme="minorEastAsia" w:hAnsiTheme="minorEastAsia"/>
          <w:spacing w:val="8"/>
          <w:kern w:val="0"/>
          <w:sz w:val="24"/>
          <w:szCs w:val="24"/>
          <w:shd w:val="clear" w:color="auto" w:fill="FFFFFF"/>
        </w:rPr>
        <w:br w:type="textWrapping"/>
      </w:r>
      <w:r>
        <w:rPr>
          <w:rFonts w:hint="eastAsia" w:cs="宋体" w:asciiTheme="minorEastAsia" w:hAnsiTheme="minorEastAsia"/>
          <w:spacing w:val="8"/>
          <w:kern w:val="0"/>
          <w:sz w:val="24"/>
          <w:szCs w:val="24"/>
        </w:rPr>
        <w:t>来源：</w:t>
      </w:r>
      <w:r>
        <w:rPr>
          <w:rFonts w:hint="eastAsia" w:cs="宋体" w:asciiTheme="minorEastAsia" w:hAnsiTheme="minorEastAsia"/>
          <w:spacing w:val="9"/>
          <w:kern w:val="0"/>
          <w:sz w:val="24"/>
          <w:szCs w:val="24"/>
        </w:rPr>
        <w:t>中华人民共和国科学技术部</w:t>
      </w:r>
      <w:r>
        <w:rPr>
          <w:rFonts w:hint="eastAsia" w:cs="宋体" w:asciiTheme="minorEastAsia" w:hAnsiTheme="minorEastAsia"/>
          <w:spacing w:val="8"/>
          <w:kern w:val="0"/>
          <w:sz w:val="24"/>
          <w:szCs w:val="24"/>
        </w:rPr>
        <w:br w:type="textWrapping"/>
      </w:r>
    </w:p>
    <w:p>
      <w:pPr>
        <w:rPr>
          <w:rFonts w:hint="eastAsia"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AD0F"/>
    <w:multiLevelType w:val="singleLevel"/>
    <w:tmpl w:val="89E1AD0F"/>
    <w:lvl w:ilvl="0" w:tentative="0">
      <w:start w:val="1"/>
      <w:numFmt w:val="decimal"/>
      <w:lvlText w:val="%1."/>
      <w:lvlJc w:val="left"/>
      <w:pPr>
        <w:tabs>
          <w:tab w:val="left" w:pos="312"/>
        </w:tabs>
      </w:pPr>
    </w:lvl>
  </w:abstractNum>
  <w:abstractNum w:abstractNumId="1">
    <w:nsid w:val="AB844ED1"/>
    <w:multiLevelType w:val="singleLevel"/>
    <w:tmpl w:val="AB844ED1"/>
    <w:lvl w:ilvl="0" w:tentative="0">
      <w:start w:val="1"/>
      <w:numFmt w:val="chineseCounting"/>
      <w:suff w:val="nothing"/>
      <w:lvlText w:val="（%1）"/>
      <w:lvlJc w:val="left"/>
      <w:rPr>
        <w:rFonts w:hint="eastAsia"/>
      </w:rPr>
    </w:lvl>
  </w:abstractNum>
  <w:abstractNum w:abstractNumId="2">
    <w:nsid w:val="AC024D40"/>
    <w:multiLevelType w:val="singleLevel"/>
    <w:tmpl w:val="AC024D40"/>
    <w:lvl w:ilvl="0" w:tentative="0">
      <w:start w:val="1"/>
      <w:numFmt w:val="decimal"/>
      <w:lvlText w:val="%1."/>
      <w:lvlJc w:val="left"/>
      <w:pPr>
        <w:tabs>
          <w:tab w:val="left" w:pos="312"/>
        </w:tabs>
      </w:pPr>
    </w:lvl>
  </w:abstractNum>
  <w:abstractNum w:abstractNumId="3">
    <w:nsid w:val="AF5D6B36"/>
    <w:multiLevelType w:val="singleLevel"/>
    <w:tmpl w:val="AF5D6B36"/>
    <w:lvl w:ilvl="0" w:tentative="0">
      <w:start w:val="1"/>
      <w:numFmt w:val="decimal"/>
      <w:suff w:val="nothing"/>
      <w:lvlText w:val="（%1）"/>
      <w:lvlJc w:val="left"/>
    </w:lvl>
  </w:abstractNum>
  <w:abstractNum w:abstractNumId="4">
    <w:nsid w:val="D327519A"/>
    <w:multiLevelType w:val="singleLevel"/>
    <w:tmpl w:val="D327519A"/>
    <w:lvl w:ilvl="0" w:tentative="0">
      <w:start w:val="1"/>
      <w:numFmt w:val="chineseCounting"/>
      <w:suff w:val="nothing"/>
      <w:lvlText w:val="（%1）"/>
      <w:lvlJc w:val="left"/>
      <w:rPr>
        <w:rFonts w:hint="eastAsia"/>
      </w:rPr>
    </w:lvl>
  </w:abstractNum>
  <w:abstractNum w:abstractNumId="5">
    <w:nsid w:val="F21BF77B"/>
    <w:multiLevelType w:val="singleLevel"/>
    <w:tmpl w:val="F21BF77B"/>
    <w:lvl w:ilvl="0" w:tentative="0">
      <w:start w:val="1"/>
      <w:numFmt w:val="decimal"/>
      <w:lvlText w:val="%1."/>
      <w:lvlJc w:val="left"/>
      <w:pPr>
        <w:tabs>
          <w:tab w:val="left" w:pos="312"/>
        </w:tabs>
      </w:pPr>
    </w:lvl>
  </w:abstractNum>
  <w:abstractNum w:abstractNumId="6">
    <w:nsid w:val="3D40E3E6"/>
    <w:multiLevelType w:val="singleLevel"/>
    <w:tmpl w:val="3D40E3E6"/>
    <w:lvl w:ilvl="0" w:tentative="0">
      <w:start w:val="1"/>
      <w:numFmt w:val="chineseCounting"/>
      <w:suff w:val="nothing"/>
      <w:lvlText w:val="%1、"/>
      <w:lvlJc w:val="left"/>
      <w:rPr>
        <w:rFonts w:hint="eastAsia"/>
      </w:rPr>
    </w:lvl>
  </w:abstractNum>
  <w:abstractNum w:abstractNumId="7">
    <w:nsid w:val="43425675"/>
    <w:multiLevelType w:val="singleLevel"/>
    <w:tmpl w:val="43425675"/>
    <w:lvl w:ilvl="0" w:tentative="0">
      <w:start w:val="1"/>
      <w:numFmt w:val="decimal"/>
      <w:lvlText w:val="%1."/>
      <w:lvlJc w:val="left"/>
      <w:pPr>
        <w:tabs>
          <w:tab w:val="left" w:pos="312"/>
        </w:tabs>
      </w:pPr>
    </w:lvl>
  </w:abstractNum>
  <w:abstractNum w:abstractNumId="8">
    <w:nsid w:val="4DA4C58B"/>
    <w:multiLevelType w:val="singleLevel"/>
    <w:tmpl w:val="4DA4C58B"/>
    <w:lvl w:ilvl="0" w:tentative="0">
      <w:start w:val="1"/>
      <w:numFmt w:val="chineseCounting"/>
      <w:suff w:val="nothing"/>
      <w:lvlText w:val="（%1）"/>
      <w:lvlJc w:val="left"/>
      <w:rPr>
        <w:rFonts w:hint="eastAsia"/>
      </w:rPr>
    </w:lvl>
  </w:abstractNum>
  <w:abstractNum w:abstractNumId="9">
    <w:nsid w:val="4FC25FE8"/>
    <w:multiLevelType w:val="singleLevel"/>
    <w:tmpl w:val="4FC25FE8"/>
    <w:lvl w:ilvl="0" w:tentative="0">
      <w:start w:val="1"/>
      <w:numFmt w:val="chineseCounting"/>
      <w:suff w:val="nothing"/>
      <w:lvlText w:val="（%1）"/>
      <w:lvlJc w:val="left"/>
      <w:rPr>
        <w:rFonts w:hint="eastAsia"/>
      </w:rPr>
    </w:lvl>
  </w:abstractNum>
  <w:abstractNum w:abstractNumId="10">
    <w:nsid w:val="76D153FE"/>
    <w:multiLevelType w:val="singleLevel"/>
    <w:tmpl w:val="76D153FE"/>
    <w:lvl w:ilvl="0" w:tentative="0">
      <w:start w:val="1"/>
      <w:numFmt w:val="chineseCounting"/>
      <w:suff w:val="nothing"/>
      <w:lvlText w:val="（%1）"/>
      <w:lvlJc w:val="left"/>
      <w:rPr>
        <w:rFonts w:hint="eastAsia"/>
      </w:rPr>
    </w:lvl>
  </w:abstractNum>
  <w:num w:numId="1">
    <w:abstractNumId w:val="6"/>
  </w:num>
  <w:num w:numId="2">
    <w:abstractNumId w:val="8"/>
  </w:num>
  <w:num w:numId="3">
    <w:abstractNumId w:val="5"/>
  </w:num>
  <w:num w:numId="4">
    <w:abstractNumId w:val="4"/>
  </w:num>
  <w:num w:numId="5">
    <w:abstractNumId w:val="0"/>
  </w:num>
  <w:num w:numId="6">
    <w:abstractNumId w:val="2"/>
  </w:num>
  <w:num w:numId="7">
    <w:abstractNumId w:val="3"/>
  </w:num>
  <w:num w:numId="8">
    <w:abstractNumId w:val="1"/>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NzdkNzgyNTAxZDc5YjE3YjdmMjdkZjJkYjdjYmYifQ=="/>
  </w:docVars>
  <w:rsids>
    <w:rsidRoot w:val="006672C6"/>
    <w:rsid w:val="000404A0"/>
    <w:rsid w:val="00131F56"/>
    <w:rsid w:val="00147E47"/>
    <w:rsid w:val="001D6F83"/>
    <w:rsid w:val="00217FD3"/>
    <w:rsid w:val="00281E37"/>
    <w:rsid w:val="002F4CAE"/>
    <w:rsid w:val="00361A98"/>
    <w:rsid w:val="003E4500"/>
    <w:rsid w:val="0043561A"/>
    <w:rsid w:val="00487A1E"/>
    <w:rsid w:val="004B5FC0"/>
    <w:rsid w:val="00572531"/>
    <w:rsid w:val="005B3AE1"/>
    <w:rsid w:val="005C3E94"/>
    <w:rsid w:val="00613B3A"/>
    <w:rsid w:val="006301BE"/>
    <w:rsid w:val="006672C6"/>
    <w:rsid w:val="006711CC"/>
    <w:rsid w:val="00671C97"/>
    <w:rsid w:val="006D1890"/>
    <w:rsid w:val="00710ADB"/>
    <w:rsid w:val="007225C5"/>
    <w:rsid w:val="00732B54"/>
    <w:rsid w:val="007556AC"/>
    <w:rsid w:val="00794487"/>
    <w:rsid w:val="007D4BB7"/>
    <w:rsid w:val="008045EF"/>
    <w:rsid w:val="00805337"/>
    <w:rsid w:val="008B002A"/>
    <w:rsid w:val="008D0CCA"/>
    <w:rsid w:val="0090730E"/>
    <w:rsid w:val="00932267"/>
    <w:rsid w:val="0098226C"/>
    <w:rsid w:val="009B1AC3"/>
    <w:rsid w:val="00A05814"/>
    <w:rsid w:val="00A33C46"/>
    <w:rsid w:val="00A8148F"/>
    <w:rsid w:val="00AB0A7E"/>
    <w:rsid w:val="00AC69FD"/>
    <w:rsid w:val="00AD6FE3"/>
    <w:rsid w:val="00B05739"/>
    <w:rsid w:val="00B200AD"/>
    <w:rsid w:val="00B7261D"/>
    <w:rsid w:val="00B86DB3"/>
    <w:rsid w:val="00B878C2"/>
    <w:rsid w:val="00BD3266"/>
    <w:rsid w:val="00BD72B6"/>
    <w:rsid w:val="00C13E1D"/>
    <w:rsid w:val="00C205D0"/>
    <w:rsid w:val="00CA1913"/>
    <w:rsid w:val="00CE308D"/>
    <w:rsid w:val="00DA4D8D"/>
    <w:rsid w:val="00DE230D"/>
    <w:rsid w:val="00DE6B49"/>
    <w:rsid w:val="00EA7EB6"/>
    <w:rsid w:val="00F1722C"/>
    <w:rsid w:val="00F71CC5"/>
    <w:rsid w:val="00FC6334"/>
    <w:rsid w:val="00FD31C0"/>
    <w:rsid w:val="00FE7204"/>
    <w:rsid w:val="00FF7E93"/>
    <w:rsid w:val="4B7713DB"/>
    <w:rsid w:val="599B0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autoRedefine/>
    <w:unhideWhenUsed/>
    <w:qFormat/>
    <w:uiPriority w:val="99"/>
    <w:rPr>
      <w:color w:val="0000FF" w:themeColor="hyperlink"/>
      <w:u w:val="single"/>
      <w14:textFill>
        <w14:solidFill>
          <w14:schemeClr w14:val="hlink"/>
        </w14:solidFill>
      </w14:textFill>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11</Pages>
  <Words>1543</Words>
  <Characters>8799</Characters>
  <Lines>73</Lines>
  <Paragraphs>20</Paragraphs>
  <TotalTime>43</TotalTime>
  <ScaleCrop>false</ScaleCrop>
  <LinksUpToDate>false</LinksUpToDate>
  <CharactersWithSpaces>10322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2023-07-20T09:25:00Z</dcterms:created>
  <dc:creator>舒丹</dc:creator>
  <cp:lastModifiedBy>Diane</cp:lastModifiedBy>
  <dcterms:modified xsi:type="dcterms:W3CDTF">2024-03-13T02:02:20Z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950BF34E3C63447FA8DE673BF2C38211_13</vt:lpwstr>
  </property>
</Properties>
</file>