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微软雅黑" w:hAnsi="微软雅黑" w:eastAsia="微软雅黑" w:cs="宋体"/>
          <w:color w:val="000000"/>
          <w:spacing w:val="8"/>
          <w:kern w:val="0"/>
          <w:sz w:val="27"/>
          <w:szCs w:val="27"/>
        </w:rPr>
      </w:pPr>
      <w:r>
        <w:rPr>
          <w:rFonts w:hint="eastAsia" w:ascii="仿宋_GB2312" w:hAnsi="微软雅黑" w:eastAsia="仿宋_GB2312" w:cs="宋体"/>
          <w:b/>
          <w:bCs/>
          <w:color w:val="195894"/>
          <w:spacing w:val="8"/>
          <w:kern w:val="0"/>
          <w:sz w:val="27"/>
          <w:szCs w:val="27"/>
        </w:rPr>
        <w:t>中国人类遗传资源国际科学研究合作</w:t>
      </w:r>
      <w:r>
        <w:rPr>
          <w:rFonts w:hint="eastAsia" w:ascii="仿宋_GB2312" w:hAnsi="微软雅黑" w:eastAsia="仿宋_GB2312" w:cs="宋体"/>
          <w:b/>
          <w:bCs/>
          <w:color w:val="195894"/>
          <w:spacing w:val="8"/>
          <w:kern w:val="0"/>
          <w:sz w:val="27"/>
          <w:szCs w:val="27"/>
        </w:rPr>
        <w:br w:type="textWrapping"/>
      </w:r>
    </w:p>
    <w:p>
      <w:pPr>
        <w:widowControl/>
        <w:shd w:val="clear" w:color="auto" w:fill="FFFFFF"/>
        <w:jc w:val="center"/>
        <w:outlineLvl w:val="1"/>
        <w:rPr>
          <w:rFonts w:hint="eastAsia" w:cs="宋体" w:asciiTheme="majorEastAsia" w:hAnsiTheme="majorEastAsia" w:eastAsiaTheme="majorEastAsia"/>
          <w:color w:val="000000"/>
          <w:spacing w:val="8"/>
          <w:kern w:val="0"/>
          <w:sz w:val="27"/>
          <w:szCs w:val="27"/>
        </w:rPr>
      </w:pPr>
      <w:r>
        <w:rPr>
          <w:rFonts w:hint="eastAsia" w:cs="宋体" w:asciiTheme="majorEastAsia" w:hAnsiTheme="majorEastAsia" w:eastAsiaTheme="majorEastAsia"/>
          <w:b/>
          <w:bCs/>
          <w:color w:val="195894"/>
          <w:spacing w:val="8"/>
          <w:kern w:val="0"/>
          <w:sz w:val="27"/>
          <w:szCs w:val="27"/>
        </w:rPr>
        <w:t>行政许可事项服务指南</w:t>
      </w:r>
    </w:p>
    <w:p>
      <w:pPr>
        <w:pStyle w:val="5"/>
        <w:widowControl/>
        <w:numPr>
          <w:ilvl w:val="0"/>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适用范围本</w:t>
      </w:r>
    </w:p>
    <w:p>
      <w:pPr>
        <w:pStyle w:val="5"/>
        <w:widowControl/>
        <w:numPr>
          <w:ilvl w:val="0"/>
          <w:numId w:val="2"/>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许可适用于境外组织及境外组织、个人设立或者实际控制的机构（以下称外方单位）与我国科研机构、高等学校、医疗机构、企业（以下称中方单位）利用我国人类遗传资源开展国际科学研究合作的规范和管理。</w:t>
      </w:r>
    </w:p>
    <w:p>
      <w:pPr>
        <w:pStyle w:val="5"/>
        <w:widowControl/>
        <w:numPr>
          <w:ilvl w:val="0"/>
          <w:numId w:val="2"/>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人类遗传资源材料包括所有类型细胞、全血、组织</w:t>
      </w:r>
      <w:r>
        <w:rPr>
          <w:rFonts w:cs="Times New Roman" w:asciiTheme="minorEastAsia" w:hAnsiTheme="minorEastAsia"/>
          <w:kern w:val="0"/>
          <w:szCs w:val="21"/>
        </w:rPr>
        <w:t>/</w:t>
      </w:r>
      <w:r>
        <w:rPr>
          <w:rFonts w:hint="eastAsia" w:cs="宋体" w:asciiTheme="minorEastAsia" w:hAnsiTheme="minorEastAsia"/>
          <w:kern w:val="0"/>
          <w:szCs w:val="21"/>
        </w:rPr>
        <w:t>组织切片、精液、脑脊液、胸</w:t>
      </w:r>
      <w:r>
        <w:rPr>
          <w:rFonts w:cs="Times New Roman" w:asciiTheme="minorEastAsia" w:hAnsiTheme="minorEastAsia"/>
          <w:kern w:val="0"/>
          <w:szCs w:val="21"/>
        </w:rPr>
        <w:t>/</w:t>
      </w:r>
      <w:r>
        <w:rPr>
          <w:rFonts w:hint="eastAsia" w:cs="宋体" w:asciiTheme="minorEastAsia" w:hAnsiTheme="minorEastAsia"/>
          <w:kern w:val="0"/>
          <w:szCs w:val="21"/>
        </w:rPr>
        <w:t>腹腔积液、血</w:t>
      </w:r>
      <w:r>
        <w:rPr>
          <w:rFonts w:cs="Times New Roman" w:asciiTheme="minorEastAsia" w:hAnsiTheme="minorEastAsia"/>
          <w:kern w:val="0"/>
          <w:szCs w:val="21"/>
        </w:rPr>
        <w:t>/</w:t>
      </w:r>
      <w:r>
        <w:rPr>
          <w:rFonts w:hint="eastAsia" w:cs="宋体" w:asciiTheme="minorEastAsia" w:hAnsiTheme="minorEastAsia"/>
          <w:kern w:val="0"/>
          <w:szCs w:val="21"/>
        </w:rPr>
        <w:t>骨髓涂片、毛发（带毛囊）等，其他不含细胞的人体分泌物、体液、拭子等无需申报。</w:t>
      </w:r>
    </w:p>
    <w:p>
      <w:pPr>
        <w:pStyle w:val="5"/>
        <w:widowControl/>
        <w:numPr>
          <w:ilvl w:val="0"/>
          <w:numId w:val="2"/>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人类遗传资源信息包括基因、基因组、转录组、表观组及</w:t>
      </w:r>
      <w:r>
        <w:rPr>
          <w:rFonts w:cs="Times New Roman" w:asciiTheme="minorEastAsia" w:hAnsiTheme="minorEastAsia"/>
          <w:kern w:val="0"/>
          <w:szCs w:val="21"/>
        </w:rPr>
        <w:t>ctDNA</w:t>
      </w:r>
      <w:r>
        <w:rPr>
          <w:rFonts w:hint="eastAsia" w:cs="宋体" w:asciiTheme="minorEastAsia" w:hAnsiTheme="minorEastAsia"/>
          <w:kern w:val="0"/>
          <w:szCs w:val="21"/>
        </w:rPr>
        <w:t>等核酸类生物标志物等数据信息，以及与此数据相关的疾病、人种等关联信息，其他不含人类遗传资源基因信息数据类型无需申报。</w:t>
      </w:r>
    </w:p>
    <w:p>
      <w:pPr>
        <w:pStyle w:val="5"/>
        <w:widowControl/>
        <w:numPr>
          <w:ilvl w:val="0"/>
          <w:numId w:val="2"/>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为临床诊疗、采供血服务、查处违法犯罪、兴奋剂检测和殡葬等活动需要，利用我国人类遗传资源开展国际合作活动的，依照相关法律、行政法规规定执行，不在本许可的适用范围内。</w:t>
      </w:r>
    </w:p>
    <w:p>
      <w:pPr>
        <w:pStyle w:val="5"/>
        <w:widowControl/>
        <w:numPr>
          <w:ilvl w:val="0"/>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事项信息</w:t>
      </w:r>
    </w:p>
    <w:p>
      <w:pPr>
        <w:pStyle w:val="5"/>
        <w:widowControl/>
        <w:numPr>
          <w:ilvl w:val="0"/>
          <w:numId w:val="3"/>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事项名称：中国人类遗传资源国际科学研究合作审批。</w:t>
      </w:r>
    </w:p>
    <w:p>
      <w:pPr>
        <w:pStyle w:val="5"/>
        <w:widowControl/>
        <w:numPr>
          <w:ilvl w:val="0"/>
          <w:numId w:val="3"/>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审批类别：行政许可。</w:t>
      </w:r>
    </w:p>
    <w:p>
      <w:pPr>
        <w:pStyle w:val="5"/>
        <w:widowControl/>
        <w:numPr>
          <w:ilvl w:val="0"/>
          <w:numId w:val="3"/>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事项编号：</w:t>
      </w:r>
      <w:r>
        <w:rPr>
          <w:rFonts w:cs="Times New Roman" w:asciiTheme="minorEastAsia" w:hAnsiTheme="minorEastAsia"/>
          <w:kern w:val="0"/>
          <w:szCs w:val="21"/>
        </w:rPr>
        <w:t>000106103000</w:t>
      </w:r>
      <w:r>
        <w:rPr>
          <w:rFonts w:hint="eastAsia" w:cs="宋体" w:asciiTheme="minorEastAsia" w:hAnsiTheme="minorEastAsia"/>
          <w:kern w:val="0"/>
          <w:szCs w:val="21"/>
        </w:rPr>
        <w:t>。</w:t>
      </w:r>
    </w:p>
    <w:p>
      <w:pPr>
        <w:pStyle w:val="5"/>
        <w:widowControl/>
        <w:numPr>
          <w:ilvl w:val="0"/>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办理依据</w:t>
      </w:r>
    </w:p>
    <w:p>
      <w:pPr>
        <w:widowControl/>
        <w:spacing w:line="360" w:lineRule="auto"/>
        <w:ind w:left="420"/>
        <w:jc w:val="left"/>
        <w:rPr>
          <w:rFonts w:hint="eastAsia" w:cs="宋体" w:asciiTheme="minorEastAsia" w:hAnsiTheme="minorEastAsia"/>
          <w:kern w:val="0"/>
          <w:szCs w:val="21"/>
        </w:rPr>
      </w:pPr>
      <w:r>
        <w:rPr>
          <w:rFonts w:cs="Times New Roman" w:asciiTheme="minorEastAsia" w:hAnsiTheme="minorEastAsia"/>
          <w:kern w:val="0"/>
          <w:szCs w:val="21"/>
        </w:rPr>
        <w:t>1.</w:t>
      </w:r>
      <w:r>
        <w:rPr>
          <w:rFonts w:hint="eastAsia" w:cs="宋体" w:asciiTheme="minorEastAsia" w:hAnsiTheme="minorEastAsia"/>
          <w:kern w:val="0"/>
          <w:szCs w:val="21"/>
        </w:rPr>
        <w:t>《中华人民共和国人类遗传资源管理条例》国令第</w:t>
      </w:r>
      <w:r>
        <w:rPr>
          <w:rFonts w:cs="Times New Roman" w:asciiTheme="minorEastAsia" w:hAnsiTheme="minorEastAsia"/>
          <w:kern w:val="0"/>
          <w:szCs w:val="21"/>
        </w:rPr>
        <w:t>717</w:t>
      </w:r>
      <w:r>
        <w:rPr>
          <w:rFonts w:hint="eastAsia" w:cs="宋体" w:asciiTheme="minorEastAsia" w:hAnsiTheme="minorEastAsia"/>
          <w:kern w:val="0"/>
          <w:szCs w:val="21"/>
        </w:rPr>
        <w:t>号（</w:t>
      </w:r>
      <w:r>
        <w:rPr>
          <w:rFonts w:cs="Times New Roman" w:asciiTheme="minorEastAsia" w:hAnsiTheme="minorEastAsia"/>
          <w:kern w:val="0"/>
          <w:szCs w:val="21"/>
        </w:rPr>
        <w:t>2019</w:t>
      </w:r>
      <w:r>
        <w:rPr>
          <w:rFonts w:hint="eastAsia" w:cs="宋体" w:asciiTheme="minorEastAsia" w:hAnsiTheme="minorEastAsia"/>
          <w:kern w:val="0"/>
          <w:szCs w:val="21"/>
        </w:rPr>
        <w:t>年</w:t>
      </w:r>
      <w:r>
        <w:rPr>
          <w:rFonts w:cs="Times New Roman" w:asciiTheme="minorEastAsia" w:hAnsiTheme="minorEastAsia"/>
          <w:kern w:val="0"/>
          <w:szCs w:val="21"/>
        </w:rPr>
        <w:t>5</w:t>
      </w:r>
      <w:r>
        <w:rPr>
          <w:rFonts w:hint="eastAsia" w:cs="宋体" w:asciiTheme="minorEastAsia" w:hAnsiTheme="minorEastAsia"/>
          <w:kern w:val="0"/>
          <w:szCs w:val="21"/>
        </w:rPr>
        <w:t>月）。</w:t>
      </w:r>
    </w:p>
    <w:p>
      <w:pPr>
        <w:widowControl/>
        <w:spacing w:line="360" w:lineRule="auto"/>
        <w:ind w:left="420"/>
        <w:jc w:val="left"/>
        <w:rPr>
          <w:rFonts w:hint="eastAsia" w:cs="宋体" w:asciiTheme="minorEastAsia" w:hAnsiTheme="minorEastAsia"/>
          <w:kern w:val="0"/>
          <w:szCs w:val="21"/>
        </w:rPr>
      </w:pPr>
      <w:r>
        <w:rPr>
          <w:rFonts w:cs="Times New Roman" w:asciiTheme="minorEastAsia" w:hAnsiTheme="minorEastAsia"/>
          <w:kern w:val="0"/>
          <w:szCs w:val="21"/>
        </w:rPr>
        <w:t>2.</w:t>
      </w:r>
      <w:r>
        <w:rPr>
          <w:rFonts w:hint="eastAsia" w:cs="宋体" w:asciiTheme="minorEastAsia" w:hAnsiTheme="minorEastAsia"/>
          <w:kern w:val="0"/>
          <w:szCs w:val="21"/>
        </w:rPr>
        <w:t>《人类遗传资源管理条例实施细则》科学技术部令第</w:t>
      </w:r>
      <w:r>
        <w:rPr>
          <w:rFonts w:cs="Times New Roman" w:asciiTheme="minorEastAsia" w:hAnsiTheme="minorEastAsia"/>
          <w:kern w:val="0"/>
          <w:szCs w:val="21"/>
        </w:rPr>
        <w:t>21</w:t>
      </w:r>
      <w:r>
        <w:rPr>
          <w:rFonts w:hint="eastAsia" w:cs="宋体" w:asciiTheme="minorEastAsia" w:hAnsiTheme="minorEastAsia"/>
          <w:kern w:val="0"/>
          <w:szCs w:val="21"/>
        </w:rPr>
        <w:t>号（</w:t>
      </w:r>
      <w:r>
        <w:rPr>
          <w:rFonts w:cs="Times New Roman" w:asciiTheme="minorEastAsia" w:hAnsiTheme="minorEastAsia"/>
          <w:kern w:val="0"/>
          <w:szCs w:val="21"/>
        </w:rPr>
        <w:t>2023</w:t>
      </w:r>
      <w:r>
        <w:rPr>
          <w:rFonts w:hint="eastAsia" w:cs="宋体" w:asciiTheme="minorEastAsia" w:hAnsiTheme="minorEastAsia"/>
          <w:kern w:val="0"/>
          <w:szCs w:val="21"/>
        </w:rPr>
        <w:t>年</w:t>
      </w:r>
      <w:r>
        <w:rPr>
          <w:rFonts w:cs="Times New Roman" w:asciiTheme="minorEastAsia" w:hAnsiTheme="minorEastAsia"/>
          <w:kern w:val="0"/>
          <w:szCs w:val="21"/>
        </w:rPr>
        <w:t>5</w:t>
      </w:r>
      <w:r>
        <w:rPr>
          <w:rFonts w:hint="eastAsia" w:cs="宋体" w:asciiTheme="minorEastAsia" w:hAnsiTheme="minorEastAsia"/>
          <w:kern w:val="0"/>
          <w:szCs w:val="21"/>
        </w:rPr>
        <w:t>月）。</w:t>
      </w:r>
    </w:p>
    <w:p>
      <w:pPr>
        <w:widowControl/>
        <w:spacing w:line="360" w:lineRule="auto"/>
        <w:ind w:left="420"/>
        <w:jc w:val="left"/>
        <w:rPr>
          <w:rFonts w:hint="eastAsia" w:cs="宋体" w:asciiTheme="minorEastAsia" w:hAnsiTheme="minorEastAsia"/>
          <w:kern w:val="0"/>
          <w:szCs w:val="21"/>
        </w:rPr>
      </w:pPr>
      <w:r>
        <w:rPr>
          <w:rFonts w:cs="Times New Roman" w:asciiTheme="minorEastAsia" w:hAnsiTheme="minorEastAsia"/>
          <w:kern w:val="0"/>
          <w:szCs w:val="21"/>
        </w:rPr>
        <w:t>3.</w:t>
      </w:r>
      <w:r>
        <w:rPr>
          <w:rFonts w:hint="eastAsia" w:cs="宋体" w:asciiTheme="minorEastAsia" w:hAnsiTheme="minorEastAsia"/>
          <w:kern w:val="0"/>
          <w:szCs w:val="21"/>
        </w:rPr>
        <w:t>《中华人民共和国行政许可法》主席令第</w:t>
      </w:r>
      <w:r>
        <w:rPr>
          <w:rFonts w:cs="Times New Roman" w:asciiTheme="minorEastAsia" w:hAnsiTheme="minorEastAsia"/>
          <w:kern w:val="0"/>
          <w:szCs w:val="21"/>
        </w:rPr>
        <w:t>7</w:t>
      </w:r>
      <w:r>
        <w:rPr>
          <w:rFonts w:hint="eastAsia" w:cs="宋体" w:asciiTheme="minorEastAsia" w:hAnsiTheme="minorEastAsia"/>
          <w:kern w:val="0"/>
          <w:szCs w:val="21"/>
        </w:rPr>
        <w:t>号（</w:t>
      </w:r>
      <w:r>
        <w:rPr>
          <w:rFonts w:cs="Times New Roman" w:asciiTheme="minorEastAsia" w:hAnsiTheme="minorEastAsia"/>
          <w:kern w:val="0"/>
          <w:szCs w:val="21"/>
        </w:rPr>
        <w:t>2003</w:t>
      </w:r>
      <w:r>
        <w:rPr>
          <w:rFonts w:hint="eastAsia" w:cs="宋体" w:asciiTheme="minorEastAsia" w:hAnsiTheme="minorEastAsia"/>
          <w:kern w:val="0"/>
          <w:szCs w:val="21"/>
        </w:rPr>
        <w:t>年</w:t>
      </w:r>
      <w:r>
        <w:rPr>
          <w:rFonts w:cs="Times New Roman" w:asciiTheme="minorEastAsia" w:hAnsiTheme="minorEastAsia"/>
          <w:kern w:val="0"/>
          <w:szCs w:val="21"/>
        </w:rPr>
        <w:t>8</w:t>
      </w:r>
      <w:r>
        <w:rPr>
          <w:rFonts w:hint="eastAsia" w:cs="宋体" w:asciiTheme="minorEastAsia" w:hAnsiTheme="minorEastAsia"/>
          <w:kern w:val="0"/>
          <w:szCs w:val="21"/>
        </w:rPr>
        <w:t>月）。</w:t>
      </w:r>
    </w:p>
    <w:p>
      <w:pPr>
        <w:pStyle w:val="5"/>
        <w:widowControl/>
        <w:numPr>
          <w:ilvl w:val="0"/>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受理机构  科技部</w:t>
      </w:r>
    </w:p>
    <w:p>
      <w:pPr>
        <w:pStyle w:val="5"/>
        <w:widowControl/>
        <w:numPr>
          <w:ilvl w:val="0"/>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决定机构  科技部</w:t>
      </w:r>
    </w:p>
    <w:p>
      <w:pPr>
        <w:pStyle w:val="5"/>
        <w:widowControl/>
        <w:numPr>
          <w:ilvl w:val="0"/>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数量限制  无数量限制</w:t>
      </w:r>
    </w:p>
    <w:p>
      <w:pPr>
        <w:pStyle w:val="5"/>
        <w:widowControl/>
        <w:numPr>
          <w:ilvl w:val="0"/>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办事条件</w:t>
      </w:r>
    </w:p>
    <w:p>
      <w:pPr>
        <w:pStyle w:val="5"/>
        <w:widowControl/>
        <w:numPr>
          <w:ilvl w:val="1"/>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申请人条件  具有法人资格的中方单位、外方单位。</w:t>
      </w:r>
    </w:p>
    <w:p>
      <w:pPr>
        <w:pStyle w:val="5"/>
        <w:widowControl/>
        <w:numPr>
          <w:ilvl w:val="1"/>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审批条件</w:t>
      </w:r>
    </w:p>
    <w:p>
      <w:pPr>
        <w:pStyle w:val="5"/>
        <w:widowControl/>
        <w:numPr>
          <w:ilvl w:val="2"/>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申请利用中国人类遗传资源开展国际科学研究合作应具备或符合如下条件：</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对我国公众健康、国家安全和社会公共利益没有危害；</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合作双方为具有法人资格的中方单位、外方单位，并具有开展相关工作的基础和能力；</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合作研究目的和内容明确、合法，期限合理；</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合作研究方案合理；</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拟使用的人类遗传资源来源合法，种类、数量与研究内容相符；</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通过合作双方各自所在国（地区）的伦理审查。外方单位确无法提供所在国（地区）伦理审查证明材料的，可以提交外方单位认可中方单位伦理审查意见的证明材料；</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研究成果归属明确，有合理明确的利益分配方案。</w:t>
      </w:r>
    </w:p>
    <w:p>
      <w:pPr>
        <w:pStyle w:val="5"/>
        <w:widowControl/>
        <w:numPr>
          <w:ilvl w:val="2"/>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禁止性要求：申请利用我国人类遗传资源开展国际科学研究合作，不符合上述条件的，不予批准。</w:t>
      </w:r>
    </w:p>
    <w:p>
      <w:pPr>
        <w:pStyle w:val="5"/>
        <w:widowControl/>
        <w:numPr>
          <w:ilvl w:val="1"/>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办理事项类型</w:t>
      </w:r>
    </w:p>
    <w:p>
      <w:pPr>
        <w:pStyle w:val="5"/>
        <w:widowControl/>
        <w:numPr>
          <w:ilvl w:val="2"/>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新建</w:t>
      </w:r>
    </w:p>
    <w:p>
      <w:pPr>
        <w:pStyle w:val="5"/>
        <w:widowControl/>
        <w:spacing w:line="360" w:lineRule="auto"/>
        <w:ind w:left="1680" w:leftChars="800"/>
        <w:jc w:val="left"/>
        <w:rPr>
          <w:rFonts w:hint="eastAsia" w:cs="宋体" w:asciiTheme="minorEastAsia" w:hAnsiTheme="minorEastAsia"/>
          <w:kern w:val="0"/>
          <w:szCs w:val="21"/>
        </w:rPr>
      </w:pPr>
      <w:r>
        <w:rPr>
          <w:rFonts w:hint="eastAsia" w:cs="宋体" w:asciiTheme="minorEastAsia" w:hAnsiTheme="minorEastAsia"/>
          <w:kern w:val="0"/>
          <w:szCs w:val="21"/>
        </w:rPr>
        <w:t>境外组织及境外组织、个人设立或者实际控制的机构（以下称外方单位）与我国科研机构、高等学校、医疗机构、企业（以下称中方单位）利用我国人类遗传资源开展国际科学研究合作活动的，活动开始前应当向科技部申请行政许可。</w:t>
      </w:r>
    </w:p>
    <w:p>
      <w:pPr>
        <w:pStyle w:val="5"/>
        <w:widowControl/>
        <w:numPr>
          <w:ilvl w:val="2"/>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变更</w:t>
      </w:r>
    </w:p>
    <w:p>
      <w:pPr>
        <w:widowControl/>
        <w:spacing w:line="360" w:lineRule="auto"/>
        <w:ind w:left="1260" w:leftChars="600"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取得人类遗传资源国际科学研究合作行政许可后，开展国际科学研究合作过程中，研究目的、研究内容发生变更，研究方案涉及的人类遗传资源种类、数量、用途发生变更，或者申办方、组长单位、合同研究组织、第三方实验室等其他重大事项发生变更的，被许可人应当向科技部提出变更申请。</w:t>
      </w:r>
    </w:p>
    <w:p>
      <w:pPr>
        <w:pStyle w:val="5"/>
        <w:widowControl/>
        <w:numPr>
          <w:ilvl w:val="0"/>
          <w:numId w:val="4"/>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特别说明：</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申请单位提交非重大事项的材料后，科技部对申报材料进行形式审核，确认是否属于非重大变更范畴，符合要求的予以接收，不符合要求的予以退回。</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非重大事项变更总量累积不超过</w:t>
      </w:r>
      <w:r>
        <w:rPr>
          <w:rFonts w:cs="Times New Roman" w:asciiTheme="minorEastAsia" w:hAnsiTheme="minorEastAsia"/>
          <w:kern w:val="0"/>
          <w:szCs w:val="21"/>
        </w:rPr>
        <w:t>10%</w:t>
      </w:r>
      <w:r>
        <w:rPr>
          <w:rFonts w:hint="eastAsia" w:cs="宋体" w:asciiTheme="minorEastAsia" w:hAnsiTheme="minorEastAsia"/>
          <w:kern w:val="0"/>
          <w:szCs w:val="21"/>
        </w:rPr>
        <w:t>是指已获批总量的基础上累积增加不超过</w:t>
      </w:r>
      <w:r>
        <w:rPr>
          <w:rFonts w:cs="Times New Roman" w:asciiTheme="minorEastAsia" w:hAnsiTheme="minorEastAsia"/>
          <w:kern w:val="0"/>
          <w:szCs w:val="21"/>
        </w:rPr>
        <w:t>10%</w:t>
      </w:r>
      <w:r>
        <w:rPr>
          <w:rFonts w:hint="eastAsia" w:cs="宋体" w:asciiTheme="minorEastAsia" w:hAnsiTheme="minorEastAsia"/>
          <w:kern w:val="0"/>
          <w:szCs w:val="21"/>
        </w:rPr>
        <w:t>。对于涉及增加新的人类遗传资源类型，按重大事项变更申报；不同人类遗传资源类型有一种总量变化累计超过</w:t>
      </w:r>
      <w:r>
        <w:rPr>
          <w:rFonts w:cs="Times New Roman" w:asciiTheme="minorEastAsia" w:hAnsiTheme="minorEastAsia"/>
          <w:kern w:val="0"/>
          <w:szCs w:val="21"/>
        </w:rPr>
        <w:t>10%</w:t>
      </w:r>
      <w:r>
        <w:rPr>
          <w:rFonts w:hint="eastAsia" w:cs="宋体" w:asciiTheme="minorEastAsia" w:hAnsiTheme="minorEastAsia"/>
          <w:kern w:val="0"/>
          <w:szCs w:val="21"/>
        </w:rPr>
        <w:t>，按重大事项变更申报。减少已获批人类遗传资源数量或人类遗传资源单位规格变小等情况，无需申报。</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多次非重大事项变更后，导致变更量超过最初审批量</w:t>
      </w:r>
      <w:r>
        <w:rPr>
          <w:rFonts w:cs="Times New Roman" w:asciiTheme="minorEastAsia" w:hAnsiTheme="minorEastAsia"/>
          <w:kern w:val="0"/>
          <w:szCs w:val="21"/>
        </w:rPr>
        <w:t>10%</w:t>
      </w:r>
      <w:r>
        <w:rPr>
          <w:rFonts w:hint="eastAsia" w:cs="宋体" w:asciiTheme="minorEastAsia" w:hAnsiTheme="minorEastAsia"/>
          <w:kern w:val="0"/>
          <w:szCs w:val="21"/>
        </w:rPr>
        <w:t>，在超过最初获批量</w:t>
      </w:r>
      <w:r>
        <w:rPr>
          <w:rFonts w:cs="Times New Roman" w:asciiTheme="minorEastAsia" w:hAnsiTheme="minorEastAsia"/>
          <w:kern w:val="0"/>
          <w:szCs w:val="21"/>
        </w:rPr>
        <w:t>10%</w:t>
      </w:r>
      <w:r>
        <w:rPr>
          <w:rFonts w:hint="eastAsia" w:cs="宋体" w:asciiTheme="minorEastAsia" w:hAnsiTheme="minorEastAsia"/>
          <w:kern w:val="0"/>
          <w:szCs w:val="21"/>
        </w:rPr>
        <w:t>的当次变更申报时，应将历次所有非重大变更量累加后，按重大事项变更申报。</w:t>
      </w:r>
    </w:p>
    <w:p>
      <w:pPr>
        <w:pStyle w:val="5"/>
        <w:widowControl/>
        <w:numPr>
          <w:ilvl w:val="2"/>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 xml:space="preserve">延续  </w:t>
      </w:r>
    </w:p>
    <w:p>
      <w:pPr>
        <w:widowControl/>
        <w:spacing w:line="360" w:lineRule="auto"/>
        <w:ind w:left="840" w:leftChars="400"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被许可人需要延续行政许可有效期的，应当在该行政许可有效期限届满三十个工作日前向科技部提出申请。科技部应当根据被许可人的申请，在该行政许可有效期限届满前作出是否准予延续的决定；逾期未作出决定的，视为准予延续。</w:t>
      </w:r>
    </w:p>
    <w:p>
      <w:pPr>
        <w:pStyle w:val="5"/>
        <w:widowControl/>
        <w:numPr>
          <w:ilvl w:val="2"/>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 xml:space="preserve">撤销  </w:t>
      </w:r>
    </w:p>
    <w:p>
      <w:pPr>
        <w:widowControl/>
        <w:spacing w:line="360" w:lineRule="auto"/>
        <w:ind w:left="1260" w:leftChars="600"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下列情形之一的，科技部根据利害关系人请求或者依据职权，可以撤销人类遗传资源行政许可：</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滥用职权、玩忽职守作出准予行政许可决定的；</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超越法定职权作出准予行政许可决定的；</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违反法定程序作出准予行政许可决定的；</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对不具备申请资格或者不符合法定条件的申请人准予行政许可的；</w:t>
      </w:r>
    </w:p>
    <w:p>
      <w:pPr>
        <w:pStyle w:val="5"/>
        <w:widowControl/>
        <w:numPr>
          <w:ilvl w:val="3"/>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依法可以撤销行政许可的其他情形。</w:t>
      </w:r>
    </w:p>
    <w:p>
      <w:pPr>
        <w:widowControl/>
        <w:spacing w:line="360" w:lineRule="auto"/>
        <w:ind w:left="1260" w:leftChars="600"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被许可人以欺骗、贿赂等不正当手段取得行政许可的，科技部应当予以撤销。</w:t>
      </w:r>
    </w:p>
    <w:p>
      <w:pPr>
        <w:widowControl/>
        <w:spacing w:line="360" w:lineRule="auto"/>
        <w:ind w:left="1260" w:leftChars="600"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依照前两款的规定撤销行政许可，可能对公共利益造成重大损害的，不予撤销。</w:t>
      </w:r>
    </w:p>
    <w:p>
      <w:pPr>
        <w:pStyle w:val="5"/>
        <w:widowControl/>
        <w:numPr>
          <w:ilvl w:val="1"/>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办理流程 办理流程示意图</w:t>
      </w:r>
      <w:r>
        <w:rPr>
          <w:rFonts w:cs="Times New Roman" w:asciiTheme="minorEastAsia" w:hAnsiTheme="minorEastAsia"/>
          <w:b/>
          <w:bCs/>
          <w:kern w:val="0"/>
          <w:szCs w:val="21"/>
        </w:rPr>
        <w:t> </w:t>
      </w:r>
    </w:p>
    <w:p>
      <w:pPr>
        <w:pStyle w:val="5"/>
        <w:widowControl/>
        <w:spacing w:line="360" w:lineRule="auto"/>
        <w:ind w:left="840" w:firstLine="0" w:firstLineChars="0"/>
        <w:jc w:val="left"/>
        <w:rPr>
          <w:rFonts w:hint="eastAsia" w:cs="宋体" w:asciiTheme="minorEastAsia" w:hAnsiTheme="minorEastAsia"/>
          <w:kern w:val="0"/>
          <w:szCs w:val="21"/>
        </w:rPr>
      </w:pPr>
      <w:r>
        <w:rPr>
          <w:rFonts w:hint="eastAsia" w:cs="宋体" w:asciiTheme="minorEastAsia" w:hAnsiTheme="minorEastAsia"/>
          <w:kern w:val="0"/>
          <w:szCs w:val="21"/>
        </w:rPr>
        <w:t>注：行政许可决定作出前，申请人书面撤回申请的，科技部终止对行政许可申请的审查。</w:t>
      </w:r>
    </w:p>
    <w:p>
      <w:pPr>
        <w:pStyle w:val="5"/>
        <w:widowControl/>
        <w:numPr>
          <w:ilvl w:val="0"/>
          <w:numId w:val="1"/>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在线申请材料</w:t>
      </w:r>
    </w:p>
    <w:tbl>
      <w:tblPr>
        <w:tblStyle w:val="2"/>
        <w:tblW w:w="5000" w:type="pct"/>
        <w:tblInd w:w="0" w:type="dxa"/>
        <w:shd w:val="clear" w:color="auto" w:fill="FFFFFF"/>
        <w:tblLayout w:type="autofit"/>
        <w:tblCellMar>
          <w:top w:w="0" w:type="dxa"/>
          <w:left w:w="0" w:type="dxa"/>
          <w:bottom w:w="0" w:type="dxa"/>
          <w:right w:w="0" w:type="dxa"/>
        </w:tblCellMar>
      </w:tblPr>
      <w:tblGrid>
        <w:gridCol w:w="734"/>
        <w:gridCol w:w="3289"/>
        <w:gridCol w:w="4493"/>
      </w:tblGrid>
      <w:tr>
        <w:tblPrEx>
          <w:shd w:val="clear" w:color="auto" w:fill="FFFFFF"/>
          <w:tblCellMar>
            <w:top w:w="0" w:type="dxa"/>
            <w:left w:w="0" w:type="dxa"/>
            <w:bottom w:w="0" w:type="dxa"/>
            <w:right w:w="0" w:type="dxa"/>
          </w:tblCellMar>
        </w:tblPrEx>
        <w:trPr>
          <w:trHeight w:val="525" w:hRule="atLeast"/>
        </w:trPr>
        <w:tc>
          <w:tcPr>
            <w:tcW w:w="431"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序号</w:t>
            </w:r>
          </w:p>
        </w:tc>
        <w:tc>
          <w:tcPr>
            <w:tcW w:w="1931"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提交电子材料名称</w:t>
            </w:r>
          </w:p>
        </w:tc>
        <w:tc>
          <w:tcPr>
            <w:tcW w:w="2638"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要求</w:t>
            </w:r>
          </w:p>
        </w:tc>
      </w:tr>
      <w:tr>
        <w:tblPrEx>
          <w:tblCellMar>
            <w:top w:w="0" w:type="dxa"/>
            <w:left w:w="0" w:type="dxa"/>
            <w:bottom w:w="0" w:type="dxa"/>
            <w:right w:w="0" w:type="dxa"/>
          </w:tblCellMar>
        </w:tblPrEx>
        <w:trPr>
          <w:trHeight w:val="360" w:hRule="atLeast"/>
        </w:trPr>
        <w:tc>
          <w:tcPr>
            <w:tcW w:w="4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1</w:t>
            </w:r>
          </w:p>
        </w:tc>
        <w:tc>
          <w:tcPr>
            <w:tcW w:w="19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申请书</w:t>
            </w:r>
          </w:p>
        </w:tc>
        <w:tc>
          <w:tcPr>
            <w:tcW w:w="2638"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网上平台填写</w:t>
            </w:r>
          </w:p>
        </w:tc>
      </w:tr>
      <w:tr>
        <w:tblPrEx>
          <w:tblCellMar>
            <w:top w:w="0" w:type="dxa"/>
            <w:left w:w="0" w:type="dxa"/>
            <w:bottom w:w="0" w:type="dxa"/>
            <w:right w:w="0" w:type="dxa"/>
          </w:tblCellMar>
        </w:tblPrEx>
        <w:trPr>
          <w:trHeight w:val="420" w:hRule="atLeast"/>
        </w:trPr>
        <w:tc>
          <w:tcPr>
            <w:tcW w:w="4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2</w:t>
            </w:r>
          </w:p>
        </w:tc>
        <w:tc>
          <w:tcPr>
            <w:tcW w:w="19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法人资格材料</w:t>
            </w:r>
          </w:p>
        </w:tc>
        <w:tc>
          <w:tcPr>
            <w:tcW w:w="2638"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法人资格材料如企业法人营业执照或事业单位法人证书或民办非企业单位登记证书等材料</w:t>
            </w:r>
          </w:p>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作为申请书附件上传</w:t>
            </w:r>
          </w:p>
        </w:tc>
      </w:tr>
      <w:tr>
        <w:tblPrEx>
          <w:tblCellMar>
            <w:top w:w="0" w:type="dxa"/>
            <w:left w:w="0" w:type="dxa"/>
            <w:bottom w:w="0" w:type="dxa"/>
            <w:right w:w="0" w:type="dxa"/>
          </w:tblCellMar>
        </w:tblPrEx>
        <w:trPr>
          <w:trHeight w:val="480" w:hRule="atLeast"/>
        </w:trPr>
        <w:tc>
          <w:tcPr>
            <w:tcW w:w="4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3</w:t>
            </w:r>
          </w:p>
        </w:tc>
        <w:tc>
          <w:tcPr>
            <w:tcW w:w="19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研究方案</w:t>
            </w:r>
          </w:p>
        </w:tc>
        <w:tc>
          <w:tcPr>
            <w:tcW w:w="2638"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作为申请书附件上传</w:t>
            </w:r>
          </w:p>
        </w:tc>
      </w:tr>
      <w:tr>
        <w:tblPrEx>
          <w:tblCellMar>
            <w:top w:w="0" w:type="dxa"/>
            <w:left w:w="0" w:type="dxa"/>
            <w:bottom w:w="0" w:type="dxa"/>
            <w:right w:w="0" w:type="dxa"/>
          </w:tblCellMar>
        </w:tblPrEx>
        <w:trPr>
          <w:trHeight w:val="420" w:hRule="atLeast"/>
        </w:trPr>
        <w:tc>
          <w:tcPr>
            <w:tcW w:w="4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4</w:t>
            </w:r>
          </w:p>
        </w:tc>
        <w:tc>
          <w:tcPr>
            <w:tcW w:w="19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知情同意书文本</w:t>
            </w:r>
          </w:p>
        </w:tc>
        <w:tc>
          <w:tcPr>
            <w:tcW w:w="2638"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作为申请书附件上传</w:t>
            </w:r>
          </w:p>
        </w:tc>
      </w:tr>
      <w:tr>
        <w:tblPrEx>
          <w:tblCellMar>
            <w:top w:w="0" w:type="dxa"/>
            <w:left w:w="0" w:type="dxa"/>
            <w:bottom w:w="0" w:type="dxa"/>
            <w:right w:w="0" w:type="dxa"/>
          </w:tblCellMar>
        </w:tblPrEx>
        <w:trPr>
          <w:trHeight w:val="1200" w:hRule="atLeast"/>
        </w:trPr>
        <w:tc>
          <w:tcPr>
            <w:tcW w:w="4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5</w:t>
            </w:r>
          </w:p>
        </w:tc>
        <w:tc>
          <w:tcPr>
            <w:tcW w:w="19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合作双方各自所在国（地区）的伦理审查批件</w:t>
            </w:r>
          </w:p>
        </w:tc>
        <w:tc>
          <w:tcPr>
            <w:tcW w:w="2638"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外方单位确无法提供所在国（地区）伦理审查证明材料的，可以提交外方单位认可中方单位伦理审查意见的证明材料</w:t>
            </w:r>
          </w:p>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作为申请书附件上传</w:t>
            </w:r>
          </w:p>
        </w:tc>
      </w:tr>
      <w:tr>
        <w:tblPrEx>
          <w:tblCellMar>
            <w:top w:w="0" w:type="dxa"/>
            <w:left w:w="0" w:type="dxa"/>
            <w:bottom w:w="0" w:type="dxa"/>
            <w:right w:w="0" w:type="dxa"/>
          </w:tblCellMar>
        </w:tblPrEx>
        <w:trPr>
          <w:trHeight w:val="495" w:hRule="atLeast"/>
        </w:trPr>
        <w:tc>
          <w:tcPr>
            <w:tcW w:w="4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6</w:t>
            </w:r>
          </w:p>
        </w:tc>
        <w:tc>
          <w:tcPr>
            <w:tcW w:w="19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国际合作协议</w:t>
            </w:r>
          </w:p>
        </w:tc>
        <w:tc>
          <w:tcPr>
            <w:tcW w:w="2638"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请提供中文版国际合作协议文本，其中申办方、组长单位、合同研究组织、第三方实验室需提供签字盖章协议</w:t>
            </w:r>
          </w:p>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作为申请书附件上传</w:t>
            </w:r>
          </w:p>
        </w:tc>
      </w:tr>
      <w:tr>
        <w:tblPrEx>
          <w:tblCellMar>
            <w:top w:w="0" w:type="dxa"/>
            <w:left w:w="0" w:type="dxa"/>
            <w:bottom w:w="0" w:type="dxa"/>
            <w:right w:w="0" w:type="dxa"/>
          </w:tblCellMar>
        </w:tblPrEx>
        <w:trPr>
          <w:trHeight w:val="750" w:hRule="atLeast"/>
        </w:trPr>
        <w:tc>
          <w:tcPr>
            <w:tcW w:w="4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7</w:t>
            </w:r>
          </w:p>
        </w:tc>
        <w:tc>
          <w:tcPr>
            <w:tcW w:w="19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临床试验批件、通知书或者备案登记材料</w:t>
            </w:r>
          </w:p>
        </w:tc>
        <w:tc>
          <w:tcPr>
            <w:tcW w:w="2638"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如涉及，应提供，作为申请书附件上传</w:t>
            </w:r>
          </w:p>
        </w:tc>
      </w:tr>
      <w:tr>
        <w:tblPrEx>
          <w:tblCellMar>
            <w:top w:w="0" w:type="dxa"/>
            <w:left w:w="0" w:type="dxa"/>
            <w:bottom w:w="0" w:type="dxa"/>
            <w:right w:w="0" w:type="dxa"/>
          </w:tblCellMar>
        </w:tblPrEx>
        <w:trPr>
          <w:trHeight w:val="750" w:hRule="atLeast"/>
        </w:trPr>
        <w:tc>
          <w:tcPr>
            <w:tcW w:w="4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8</w:t>
            </w:r>
          </w:p>
        </w:tc>
        <w:tc>
          <w:tcPr>
            <w:tcW w:w="19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其他证明材料</w:t>
            </w:r>
          </w:p>
        </w:tc>
        <w:tc>
          <w:tcPr>
            <w:tcW w:w="2638"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如涉及，请提供</w:t>
            </w:r>
          </w:p>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作为申请书附件上传</w:t>
            </w:r>
          </w:p>
        </w:tc>
      </w:tr>
      <w:tr>
        <w:tblPrEx>
          <w:tblCellMar>
            <w:top w:w="0" w:type="dxa"/>
            <w:left w:w="0" w:type="dxa"/>
            <w:bottom w:w="0" w:type="dxa"/>
            <w:right w:w="0" w:type="dxa"/>
          </w:tblCellMar>
        </w:tblPrEx>
        <w:trPr>
          <w:trHeight w:val="750" w:hRule="atLeast"/>
        </w:trPr>
        <w:tc>
          <w:tcPr>
            <w:tcW w:w="4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9</w:t>
            </w:r>
          </w:p>
        </w:tc>
        <w:tc>
          <w:tcPr>
            <w:tcW w:w="19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承诺书（参与临床医疗</w:t>
            </w:r>
          </w:p>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卫生机构）</w:t>
            </w:r>
          </w:p>
        </w:tc>
        <w:tc>
          <w:tcPr>
            <w:tcW w:w="2638"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请在申报系统参与临床医疗卫生机构</w:t>
            </w:r>
          </w:p>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中上传</w:t>
            </w:r>
          </w:p>
        </w:tc>
      </w:tr>
      <w:tr>
        <w:tblPrEx>
          <w:tblCellMar>
            <w:top w:w="0" w:type="dxa"/>
            <w:left w:w="0" w:type="dxa"/>
            <w:bottom w:w="0" w:type="dxa"/>
            <w:right w:w="0" w:type="dxa"/>
          </w:tblCellMar>
        </w:tblPrEx>
        <w:trPr>
          <w:trHeight w:val="750" w:hRule="atLeast"/>
        </w:trPr>
        <w:tc>
          <w:tcPr>
            <w:tcW w:w="4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10</w:t>
            </w:r>
          </w:p>
        </w:tc>
        <w:tc>
          <w:tcPr>
            <w:tcW w:w="193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伦理审查批件（参与临床医疗卫生机构）</w:t>
            </w:r>
          </w:p>
        </w:tc>
        <w:tc>
          <w:tcPr>
            <w:tcW w:w="2638"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伦理审查批件应包含审查意见、审查材料清单、签字盖章页、伦理委员会成员签到表等内容。审查材料如涉及版本号和版本日期应注明</w:t>
            </w:r>
          </w:p>
          <w:p>
            <w:pPr>
              <w:widowControl/>
              <w:wordWrap w:val="0"/>
              <w:spacing w:line="405" w:lineRule="atLeast"/>
              <w:jc w:val="center"/>
              <w:rPr>
                <w:rFonts w:hint="eastAsia" w:cs="宋体" w:asciiTheme="minorEastAsia" w:hAnsiTheme="minorEastAsia"/>
                <w:spacing w:val="8"/>
                <w:kern w:val="0"/>
                <w:sz w:val="26"/>
                <w:szCs w:val="26"/>
              </w:rPr>
            </w:pPr>
            <w:r>
              <w:rPr>
                <w:rFonts w:hint="eastAsia" w:cs="宋体" w:asciiTheme="minorEastAsia" w:hAnsiTheme="minorEastAsia"/>
                <w:spacing w:val="8"/>
                <w:kern w:val="0"/>
                <w:szCs w:val="21"/>
              </w:rPr>
              <w:t>请在申报系统参与临床医疗卫生机构</w:t>
            </w:r>
          </w:p>
          <w:p>
            <w:pPr>
              <w:widowControl/>
              <w:wordWrap w:val="0"/>
              <w:spacing w:line="405"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中上传</w:t>
            </w:r>
          </w:p>
        </w:tc>
      </w:tr>
    </w:tbl>
    <w:p>
      <w:pPr>
        <w:widowControl/>
        <w:spacing w:line="360" w:lineRule="auto"/>
        <w:jc w:val="left"/>
        <w:rPr>
          <w:rFonts w:hint="eastAsia" w:cs="宋体" w:asciiTheme="minorEastAsia" w:hAnsiTheme="minorEastAsia"/>
          <w:kern w:val="0"/>
          <w:szCs w:val="21"/>
        </w:rPr>
      </w:pPr>
      <w:r>
        <w:rPr>
          <w:rFonts w:hint="eastAsia" w:cs="宋体" w:asciiTheme="minorEastAsia" w:hAnsiTheme="minorEastAsia"/>
          <w:kern w:val="0"/>
          <w:szCs w:val="21"/>
        </w:rPr>
        <w:t>九、申请接收</w:t>
      </w:r>
    </w:p>
    <w:p>
      <w:pPr>
        <w:widowControl/>
        <w:spacing w:line="360" w:lineRule="auto"/>
        <w:ind w:firstLine="420" w:firstLineChars="200"/>
        <w:jc w:val="left"/>
        <w:rPr>
          <w:rFonts w:hint="eastAsia" w:cs="宋体" w:asciiTheme="minorEastAsia" w:hAnsiTheme="minorEastAsia"/>
          <w:kern w:val="0"/>
          <w:szCs w:val="21"/>
        </w:rPr>
      </w:pPr>
      <w:r>
        <w:rPr>
          <w:rFonts w:hint="eastAsia" w:cs="Times New Roman" w:asciiTheme="minorEastAsia" w:hAnsiTheme="minorEastAsia"/>
          <w:kern w:val="0"/>
          <w:szCs w:val="21"/>
        </w:rPr>
        <w:t>电子申请材料通过网上平台接收，平台网址：</w:t>
      </w:r>
      <w:r>
        <w:rPr>
          <w:rFonts w:cs="Times New Roman" w:asciiTheme="minorEastAsia" w:hAnsiTheme="minorEastAsia"/>
          <w:kern w:val="0"/>
          <w:szCs w:val="21"/>
        </w:rPr>
        <w:fldChar w:fldCharType="begin"/>
      </w:r>
      <w:r>
        <w:rPr>
          <w:rFonts w:cs="Times New Roman" w:asciiTheme="minorEastAsia" w:hAnsiTheme="minorEastAsia"/>
          <w:kern w:val="0"/>
          <w:szCs w:val="21"/>
        </w:rPr>
        <w:instrText xml:space="preserve"> HYPERLINK "https://www.hgrg.net/login" </w:instrText>
      </w:r>
      <w:r>
        <w:rPr>
          <w:rFonts w:cs="Times New Roman" w:asciiTheme="minorEastAsia" w:hAnsiTheme="minorEastAsia"/>
          <w:kern w:val="0"/>
          <w:szCs w:val="21"/>
        </w:rPr>
        <w:fldChar w:fldCharType="separate"/>
      </w:r>
      <w:r>
        <w:rPr>
          <w:rStyle w:val="4"/>
          <w:rFonts w:cs="Times New Roman" w:asciiTheme="minorEastAsia" w:hAnsiTheme="minorEastAsia"/>
          <w:kern w:val="0"/>
          <w:szCs w:val="21"/>
        </w:rPr>
        <w:t>https://www.hgrg.net/login</w:t>
      </w:r>
      <w:r>
        <w:rPr>
          <w:rFonts w:cs="Times New Roman" w:asciiTheme="minorEastAsia" w:hAnsiTheme="minorEastAsia"/>
          <w:kern w:val="0"/>
          <w:szCs w:val="21"/>
        </w:rPr>
        <w:fldChar w:fldCharType="end"/>
      </w:r>
      <w:r>
        <w:rPr>
          <w:rFonts w:hint="eastAsia" w:cs="宋体" w:asciiTheme="minorEastAsia" w:hAnsiTheme="minorEastAsia"/>
          <w:kern w:val="0"/>
          <w:szCs w:val="21"/>
        </w:rPr>
        <w:t>。</w:t>
      </w:r>
    </w:p>
    <w:p>
      <w:pPr>
        <w:widowControl/>
        <w:spacing w:line="360" w:lineRule="auto"/>
        <w:jc w:val="left"/>
        <w:rPr>
          <w:rFonts w:hint="eastAsia" w:cs="宋体" w:asciiTheme="minorEastAsia" w:hAnsiTheme="minorEastAsia"/>
          <w:kern w:val="0"/>
          <w:szCs w:val="21"/>
        </w:rPr>
      </w:pPr>
      <w:r>
        <w:rPr>
          <w:rFonts w:hint="eastAsia" w:cs="宋体" w:asciiTheme="minorEastAsia" w:hAnsiTheme="minorEastAsia"/>
          <w:kern w:val="0"/>
          <w:szCs w:val="21"/>
        </w:rPr>
        <w:t xml:space="preserve">十、办理方式 </w:t>
      </w:r>
    </w:p>
    <w:p>
      <w:pPr>
        <w:widowControl/>
        <w:spacing w:line="360" w:lineRule="auto"/>
        <w:ind w:firstLine="315" w:firstLineChars="150"/>
        <w:jc w:val="left"/>
        <w:rPr>
          <w:rFonts w:hint="eastAsia" w:cs="宋体" w:asciiTheme="minorEastAsia" w:hAnsiTheme="minorEastAsia"/>
          <w:kern w:val="0"/>
          <w:szCs w:val="21"/>
        </w:rPr>
      </w:pPr>
      <w:r>
        <w:rPr>
          <w:rFonts w:hint="eastAsia" w:cs="宋体" w:asciiTheme="minorEastAsia" w:hAnsiTheme="minorEastAsia"/>
          <w:kern w:val="0"/>
          <w:szCs w:val="21"/>
        </w:rPr>
        <w:t>本行政许可按照一般程序办理，包括申请、受理、技术评审、决定和文书送达等。</w:t>
      </w:r>
    </w:p>
    <w:p>
      <w:pPr>
        <w:pStyle w:val="5"/>
        <w:widowControl/>
        <w:numPr>
          <w:ilvl w:val="0"/>
          <w:numId w:val="5"/>
        </w:numPr>
        <w:spacing w:line="360" w:lineRule="auto"/>
        <w:ind w:firstLineChars="0"/>
        <w:jc w:val="left"/>
        <w:rPr>
          <w:rFonts w:hint="eastAsia" w:cs="宋体" w:asciiTheme="minorEastAsia" w:hAnsiTheme="minorEastAsia"/>
          <w:kern w:val="0"/>
          <w:szCs w:val="21"/>
        </w:rPr>
      </w:pPr>
      <w:r>
        <w:rPr>
          <w:rFonts w:hint="eastAsia" w:cs="宋体" w:asciiTheme="minorEastAsia" w:hAnsiTheme="minorEastAsia"/>
          <w:kern w:val="0"/>
          <w:szCs w:val="21"/>
        </w:rPr>
        <w:t>网上申请</w:t>
      </w:r>
    </w:p>
    <w:p>
      <w:pPr>
        <w:pStyle w:val="5"/>
        <w:widowControl/>
        <w:spacing w:line="360" w:lineRule="auto"/>
        <w:ind w:left="840"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Cs w:val="21"/>
        </w:rPr>
        <w:t>申请单位管理员（法人账号）新建项目，并授权申请人（自然人账号），由申请人登录系统并填报该项目。申请人完成填报，提交单位管理员审核无误后生成申请材料，直接下载并上传签字盖章的审核意见，单位管理员再提交正式申请。</w:t>
      </w:r>
    </w:p>
    <w:p>
      <w:pPr>
        <w:pStyle w:val="5"/>
        <w:widowControl/>
        <w:numPr>
          <w:ilvl w:val="0"/>
          <w:numId w:val="5"/>
        </w:numPr>
        <w:spacing w:line="360" w:lineRule="auto"/>
        <w:ind w:firstLineChars="0"/>
        <w:jc w:val="left"/>
        <w:rPr>
          <w:rFonts w:hint="eastAsia" w:cs="宋体" w:asciiTheme="minorEastAsia" w:hAnsiTheme="minorEastAsia"/>
          <w:kern w:val="0"/>
          <w:sz w:val="24"/>
          <w:szCs w:val="24"/>
        </w:rPr>
      </w:pPr>
      <w:r>
        <w:rPr>
          <w:rFonts w:hint="eastAsia" w:cs="宋体" w:asciiTheme="minorEastAsia" w:hAnsiTheme="minorEastAsia"/>
          <w:kern w:val="0"/>
          <w:szCs w:val="21"/>
        </w:rPr>
        <w:t>受理</w:t>
      </w:r>
    </w:p>
    <w:p>
      <w:pPr>
        <w:widowControl/>
        <w:spacing w:line="360" w:lineRule="auto"/>
        <w:ind w:left="315" w:leftChars="150" w:firstLine="210" w:firstLineChars="100"/>
        <w:jc w:val="left"/>
        <w:rPr>
          <w:rFonts w:hint="eastAsia" w:cs="宋体" w:asciiTheme="minorEastAsia" w:hAnsiTheme="minorEastAsia"/>
          <w:kern w:val="0"/>
          <w:szCs w:val="21"/>
        </w:rPr>
      </w:pPr>
      <w:r>
        <w:rPr>
          <w:rFonts w:hint="eastAsia" w:cs="宋体" w:asciiTheme="minorEastAsia" w:hAnsiTheme="minorEastAsia"/>
          <w:kern w:val="0"/>
          <w:szCs w:val="21"/>
        </w:rPr>
        <w:t>申请人的申请材料齐全、形式符合规定的，科技部应当受理并出具加盖专用印章和注明日期的纸质或者电子凭证。申请材料不齐全或者不符合法定形式的，科技部应当在收到正式申请材料之日起五个工作日内一次性告知申请人需要补正的全部内容。</w:t>
      </w:r>
    </w:p>
    <w:p>
      <w:pPr>
        <w:pStyle w:val="5"/>
        <w:widowControl/>
        <w:numPr>
          <w:ilvl w:val="0"/>
          <w:numId w:val="5"/>
        </w:numPr>
        <w:spacing w:line="360" w:lineRule="auto"/>
        <w:ind w:firstLineChars="0"/>
        <w:jc w:val="left"/>
        <w:rPr>
          <w:rFonts w:hint="eastAsia" w:cs="宋体" w:asciiTheme="minorEastAsia" w:hAnsiTheme="minorEastAsia"/>
          <w:kern w:val="0"/>
          <w:sz w:val="24"/>
          <w:szCs w:val="24"/>
        </w:rPr>
      </w:pPr>
      <w:r>
        <w:rPr>
          <w:rFonts w:hint="eastAsia" w:cs="宋体" w:asciiTheme="minorEastAsia" w:hAnsiTheme="minorEastAsia"/>
          <w:kern w:val="0"/>
          <w:szCs w:val="21"/>
        </w:rPr>
        <w:t xml:space="preserve">技术评审  </w:t>
      </w:r>
    </w:p>
    <w:p>
      <w:pPr>
        <w:widowControl/>
        <w:spacing w:line="360" w:lineRule="auto"/>
        <w:ind w:left="315" w:leftChars="150" w:firstLine="420" w:firstLineChars="200"/>
        <w:jc w:val="left"/>
        <w:rPr>
          <w:rFonts w:hint="eastAsia" w:cs="宋体" w:asciiTheme="minorEastAsia" w:hAnsiTheme="minorEastAsia"/>
          <w:kern w:val="0"/>
          <w:sz w:val="24"/>
          <w:szCs w:val="24"/>
        </w:rPr>
      </w:pPr>
      <w:r>
        <w:rPr>
          <w:rFonts w:hint="eastAsia" w:cs="宋体" w:asciiTheme="minorEastAsia" w:hAnsiTheme="minorEastAsia"/>
          <w:kern w:val="0"/>
          <w:szCs w:val="21"/>
        </w:rPr>
        <w:t>科技部委托中国生物技术发展中心组织专家对受理的申请事项进行技术评审，形成专家评审意见，作为作出行政许可决定的参考依据。</w:t>
      </w:r>
    </w:p>
    <w:p>
      <w:pPr>
        <w:pStyle w:val="5"/>
        <w:widowControl/>
        <w:numPr>
          <w:ilvl w:val="0"/>
          <w:numId w:val="5"/>
        </w:numPr>
        <w:spacing w:line="360" w:lineRule="auto"/>
        <w:ind w:firstLineChars="0"/>
        <w:jc w:val="left"/>
        <w:rPr>
          <w:rFonts w:hint="eastAsia" w:cs="宋体" w:asciiTheme="minorEastAsia" w:hAnsiTheme="minorEastAsia"/>
          <w:kern w:val="0"/>
          <w:sz w:val="24"/>
          <w:szCs w:val="24"/>
        </w:rPr>
      </w:pPr>
      <w:r>
        <w:rPr>
          <w:rFonts w:hint="eastAsia" w:cs="宋体" w:asciiTheme="minorEastAsia" w:hAnsiTheme="minorEastAsia"/>
          <w:kern w:val="0"/>
          <w:szCs w:val="21"/>
        </w:rPr>
        <w:t xml:space="preserve">审批决定  </w:t>
      </w:r>
    </w:p>
    <w:p>
      <w:pPr>
        <w:widowControl/>
        <w:spacing w:line="360" w:lineRule="auto"/>
        <w:ind w:left="315" w:leftChars="150" w:firstLine="420" w:firstLineChars="200"/>
        <w:jc w:val="left"/>
        <w:rPr>
          <w:rFonts w:hint="eastAsia" w:cs="宋体" w:asciiTheme="minorEastAsia" w:hAnsiTheme="minorEastAsia"/>
          <w:kern w:val="0"/>
          <w:sz w:val="24"/>
          <w:szCs w:val="24"/>
        </w:rPr>
      </w:pPr>
      <w:r>
        <w:rPr>
          <w:rFonts w:hint="eastAsia" w:cs="宋体" w:asciiTheme="minorEastAsia" w:hAnsiTheme="minorEastAsia"/>
          <w:kern w:val="0"/>
          <w:szCs w:val="21"/>
        </w:rPr>
        <w:t>科技部根据评审结果，作出批准或不批准的决定。</w:t>
      </w:r>
    </w:p>
    <w:p>
      <w:pPr>
        <w:pStyle w:val="5"/>
        <w:widowControl/>
        <w:numPr>
          <w:ilvl w:val="0"/>
          <w:numId w:val="5"/>
        </w:numPr>
        <w:spacing w:line="360" w:lineRule="auto"/>
        <w:ind w:firstLineChars="0"/>
        <w:jc w:val="left"/>
        <w:rPr>
          <w:rFonts w:hint="eastAsia" w:cs="宋体" w:asciiTheme="minorEastAsia" w:hAnsiTheme="minorEastAsia"/>
          <w:kern w:val="0"/>
          <w:sz w:val="24"/>
          <w:szCs w:val="24"/>
        </w:rPr>
      </w:pPr>
      <w:r>
        <w:rPr>
          <w:rFonts w:hint="eastAsia" w:cs="宋体" w:asciiTheme="minorEastAsia" w:hAnsiTheme="minorEastAsia"/>
          <w:kern w:val="0"/>
          <w:szCs w:val="21"/>
        </w:rPr>
        <w:t>结果公布</w:t>
      </w:r>
    </w:p>
    <w:p>
      <w:pPr>
        <w:widowControl/>
        <w:spacing w:line="360" w:lineRule="auto"/>
        <w:ind w:left="315" w:leftChars="150" w:firstLine="420" w:firstLineChars="200"/>
        <w:jc w:val="left"/>
        <w:rPr>
          <w:rFonts w:hint="eastAsia" w:cs="宋体" w:asciiTheme="minorEastAsia" w:hAnsiTheme="minorEastAsia"/>
          <w:kern w:val="0"/>
          <w:sz w:val="24"/>
          <w:szCs w:val="24"/>
        </w:rPr>
      </w:pPr>
      <w:r>
        <w:rPr>
          <w:rFonts w:hint="eastAsia" w:cs="宋体" w:asciiTheme="minorEastAsia" w:hAnsiTheme="minorEastAsia"/>
          <w:kern w:val="0"/>
          <w:szCs w:val="21"/>
        </w:rPr>
        <w:t>科技部作出的准予行政许可决定，将在科技部网站予以公开。</w:t>
      </w:r>
    </w:p>
    <w:p>
      <w:pPr>
        <w:pStyle w:val="5"/>
        <w:widowControl/>
        <w:numPr>
          <w:ilvl w:val="0"/>
          <w:numId w:val="5"/>
        </w:numPr>
        <w:spacing w:line="360" w:lineRule="auto"/>
        <w:ind w:firstLineChars="0"/>
        <w:jc w:val="left"/>
        <w:rPr>
          <w:rFonts w:hint="eastAsia" w:cs="宋体" w:asciiTheme="minorEastAsia" w:hAnsiTheme="minorEastAsia"/>
          <w:kern w:val="0"/>
          <w:sz w:val="24"/>
          <w:szCs w:val="24"/>
        </w:rPr>
      </w:pPr>
      <w:r>
        <w:rPr>
          <w:rFonts w:hint="eastAsia" w:cs="宋体" w:asciiTheme="minorEastAsia" w:hAnsiTheme="minorEastAsia"/>
          <w:kern w:val="0"/>
          <w:szCs w:val="21"/>
        </w:rPr>
        <w:t>送达</w:t>
      </w:r>
    </w:p>
    <w:p>
      <w:pPr>
        <w:widowControl/>
        <w:spacing w:line="360" w:lineRule="auto"/>
        <w:ind w:left="105" w:leftChars="50" w:firstLine="420" w:firstLineChars="200"/>
        <w:jc w:val="left"/>
        <w:rPr>
          <w:rFonts w:hint="eastAsia" w:cs="宋体" w:asciiTheme="minorEastAsia" w:hAnsiTheme="minorEastAsia"/>
          <w:kern w:val="0"/>
          <w:szCs w:val="21"/>
        </w:rPr>
      </w:pPr>
      <w:r>
        <w:rPr>
          <w:rFonts w:hint="eastAsia" w:cs="Times New Roman" w:asciiTheme="minorEastAsia" w:hAnsiTheme="minorEastAsia"/>
          <w:kern w:val="0"/>
          <w:szCs w:val="21"/>
        </w:rPr>
        <w:t>科技部在</w:t>
      </w:r>
      <w:r>
        <w:rPr>
          <w:rFonts w:cs="Times New Roman" w:asciiTheme="minorEastAsia" w:hAnsiTheme="minorEastAsia"/>
          <w:kern w:val="0"/>
          <w:szCs w:val="21"/>
        </w:rPr>
        <w:t>10</w:t>
      </w:r>
      <w:r>
        <w:rPr>
          <w:rFonts w:hint="eastAsia" w:cs="Times New Roman" w:asciiTheme="minorEastAsia" w:hAnsiTheme="minorEastAsia"/>
          <w:kern w:val="0"/>
          <w:szCs w:val="21"/>
        </w:rPr>
        <w:t>个工作日内通过邮寄或电子送达方式将审批决定书送达申请单位指定的地址或邮箱</w:t>
      </w:r>
      <w:r>
        <w:rPr>
          <w:rFonts w:cs="Times New Roman" w:asciiTheme="minorEastAsia" w:hAnsiTheme="minorEastAsia"/>
          <w:kern w:val="0"/>
          <w:szCs w:val="21"/>
        </w:rPr>
        <w:t>/</w:t>
      </w:r>
      <w:r>
        <w:rPr>
          <w:rFonts w:hint="eastAsia" w:cs="宋体" w:asciiTheme="minorEastAsia" w:hAnsiTheme="minorEastAsia"/>
          <w:kern w:val="0"/>
          <w:szCs w:val="21"/>
        </w:rPr>
        <w:t>网址，同时抄送省级科技行政部门，申请单位可在申报系统查询送达状态。</w:t>
      </w:r>
    </w:p>
    <w:p>
      <w:pPr>
        <w:widowControl/>
        <w:spacing w:line="360" w:lineRule="auto"/>
        <w:ind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十一、行政许可证件 中国人类遗传资源国际科学研究合作审批决定书。</w:t>
      </w:r>
    </w:p>
    <w:p>
      <w:pPr>
        <w:widowControl/>
        <w:spacing w:line="360" w:lineRule="auto"/>
        <w:ind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 xml:space="preserve">十二、审批时限 </w:t>
      </w:r>
    </w:p>
    <w:p>
      <w:pPr>
        <w:widowControl/>
        <w:spacing w:line="360" w:lineRule="auto"/>
        <w:ind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科技部在正式受理后20个工作日内作出批准或不予批准的决定。</w:t>
      </w:r>
    </w:p>
    <w:p>
      <w:pPr>
        <w:widowControl/>
        <w:spacing w:line="360" w:lineRule="auto"/>
        <w:ind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因特殊原因无法在规定期限内作出审批决定的，经科技部负责人批准，可以延长10个工作日。</w:t>
      </w:r>
    </w:p>
    <w:p>
      <w:pPr>
        <w:widowControl/>
        <w:spacing w:line="360" w:lineRule="auto"/>
        <w:ind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科技部作出行政许可决定，依法需要听证、检验、检测、检疫、鉴定、技术评审的，所需时间不计算在此期限内，但应当将所需时间书面告知申请人。</w:t>
      </w:r>
    </w:p>
    <w:p>
      <w:pPr>
        <w:widowControl/>
        <w:spacing w:line="360" w:lineRule="auto"/>
        <w:ind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十三、审批收费</w:t>
      </w:r>
    </w:p>
    <w:p>
      <w:pPr>
        <w:widowControl/>
        <w:spacing w:line="360" w:lineRule="auto"/>
        <w:ind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本审批事项不收费。</w:t>
      </w:r>
    </w:p>
    <w:p>
      <w:pPr>
        <w:widowControl/>
        <w:spacing w:line="360" w:lineRule="auto"/>
        <w:ind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十四、申请人权利和义务</w:t>
      </w:r>
    </w:p>
    <w:p>
      <w:pPr>
        <w:widowControl/>
        <w:spacing w:line="360" w:lineRule="auto"/>
        <w:ind w:firstLine="420" w:firstLineChars="200"/>
        <w:jc w:val="left"/>
        <w:rPr>
          <w:rFonts w:hint="eastAsia" w:cs="宋体" w:asciiTheme="minorEastAsia" w:hAnsiTheme="minorEastAsia"/>
          <w:kern w:val="0"/>
          <w:szCs w:val="21"/>
        </w:rPr>
      </w:pPr>
      <w:r>
        <w:rPr>
          <w:rFonts w:hint="eastAsia" w:cs="宋体" w:asciiTheme="minorEastAsia" w:hAnsiTheme="minorEastAsia"/>
          <w:kern w:val="0"/>
          <w:szCs w:val="21"/>
        </w:rPr>
        <w:t>（一）依据《中华人民共和国行政许可法》《中华人民共和国人类遗传资源管理条例》《人类遗传资源管理条例实施细则》规定，申请人依法享有如下权利：</w:t>
      </w:r>
    </w:p>
    <w:p>
      <w:pPr>
        <w:widowControl/>
        <w:spacing w:line="360" w:lineRule="auto"/>
        <w:ind w:firstLine="420" w:firstLineChars="200"/>
        <w:jc w:val="left"/>
        <w:rPr>
          <w:rFonts w:cs="宋体" w:asciiTheme="minorEastAsia" w:hAnsiTheme="minorEastAsia"/>
          <w:kern w:val="0"/>
          <w:sz w:val="24"/>
          <w:szCs w:val="24"/>
        </w:rPr>
      </w:pPr>
      <w:r>
        <w:rPr>
          <w:rFonts w:hint="eastAsia" w:cs="宋体" w:asciiTheme="minorEastAsia" w:hAnsiTheme="minorEastAsia"/>
          <w:kern w:val="0"/>
          <w:szCs w:val="21"/>
        </w:rPr>
        <w:t>1.对行政机关实施的行政许可，享有陈述权、申辩权；其合法权益因行政机关违法实施行政许可受到损害的，有权依法要求赔偿。2.申请人对审批决定有异议的，可以在收到通知之日起60日内向科技部申请行政复议，也可在收到通知之日起6个月内向人民法院提起诉讼。（二）依据《中华人民共和国行政许可法》《中华人民共和国人类遗传资源管理条例》《人类遗传资源管理条例实施细则》规定，申请人申请行政许可，应当如实向行政机关提交有关材料并反映真实情况，对其申请材料实质内容的真实性负责。申请人在行政申请过程中存在弄虚作假等行为的，科技部将终止对其申请的审查或撤销已作出的审批决定，书面通知其主管部门，并视情节根据《中华人民共和国行政许可法》《中华人民共和国行政处罚法》《中华人民共和国人类遗传资源管理条例》和《人类遗传资源管理条例实施细则》追究其责任。十五、咨询途径（一）窗口咨询：科技部行政审批受理窗口（地址：北京市海淀区西四环中路16号院4号楼1层，中国生物技术发展中心）；</w:t>
      </w:r>
      <w:r>
        <w:rPr>
          <w:rFonts w:cs="Times New Roman" w:asciiTheme="minorEastAsia" w:hAnsiTheme="minorEastAsia"/>
          <w:kern w:val="0"/>
          <w:szCs w:val="21"/>
        </w:rPr>
        <w:t>（二）电子邮件咨询：ycb@cncbd.org.cn</w:t>
      </w:r>
      <w:r>
        <w:rPr>
          <w:rFonts w:hint="eastAsia" w:cs="宋体" w:asciiTheme="minorEastAsia" w:hAnsiTheme="minorEastAsia"/>
          <w:kern w:val="0"/>
          <w:szCs w:val="21"/>
        </w:rPr>
        <w:t>；（三）电话咨询：010-88225151/88225168。（四）咨询时间：工作日8:30—11:30，13:30—16:30。十六、监督、投诉和举报渠道（一）电话投诉：科技部科技监督与诚信建设司010-68588709；</w:t>
      </w:r>
      <w:r>
        <w:rPr>
          <w:rFonts w:cs="Times New Roman" w:asciiTheme="minorEastAsia" w:hAnsiTheme="minorEastAsia"/>
          <w:kern w:val="0"/>
          <w:szCs w:val="21"/>
        </w:rPr>
        <w:t>（二）电子邮件投诉：chengxinban@most.cn</w:t>
      </w:r>
      <w:r>
        <w:rPr>
          <w:rFonts w:hint="eastAsia" w:cs="宋体" w:asciiTheme="minorEastAsia" w:hAnsiTheme="minorEastAsia"/>
          <w:kern w:val="0"/>
          <w:szCs w:val="21"/>
        </w:rPr>
        <w:t>；</w:t>
      </w:r>
      <w:r>
        <w:rPr>
          <w:rFonts w:hint="eastAsia" w:cs="Times New Roman" w:asciiTheme="minorEastAsia" w:hAnsiTheme="minorEastAsia"/>
          <w:kern w:val="0"/>
          <w:szCs w:val="21"/>
        </w:rPr>
        <w:t>（三）信函投诉：科技部科技监督与诚信建设司（地址：北京市复兴路乙</w:t>
      </w:r>
      <w:r>
        <w:rPr>
          <w:rFonts w:cs="Times New Roman" w:asciiTheme="minorEastAsia" w:hAnsiTheme="minorEastAsia"/>
          <w:kern w:val="0"/>
          <w:szCs w:val="21"/>
        </w:rPr>
        <w:t>15</w:t>
      </w:r>
      <w:r>
        <w:rPr>
          <w:rFonts w:hint="eastAsia" w:cs="Times New Roman" w:asciiTheme="minorEastAsia" w:hAnsiTheme="minorEastAsia"/>
          <w:kern w:val="0"/>
          <w:szCs w:val="21"/>
        </w:rPr>
        <w:t>号</w:t>
      </w:r>
      <w:r>
        <w:rPr>
          <w:rFonts w:hint="eastAsia" w:cs="宋体" w:asciiTheme="minorEastAsia" w:hAnsiTheme="minorEastAsia"/>
          <w:kern w:val="0"/>
          <w:szCs w:val="21"/>
        </w:rPr>
        <w:t>）。十七、公开查询</w:t>
      </w:r>
      <w:r>
        <w:rPr>
          <w:rFonts w:hint="eastAsia" w:cs="Times New Roman" w:asciiTheme="minorEastAsia" w:hAnsiTheme="minorEastAsia"/>
          <w:kern w:val="0"/>
          <w:szCs w:val="21"/>
        </w:rPr>
        <w:t>自受理之日起</w:t>
      </w:r>
      <w:r>
        <w:rPr>
          <w:rFonts w:cs="Times New Roman" w:asciiTheme="minorEastAsia" w:hAnsiTheme="minorEastAsia"/>
          <w:kern w:val="0"/>
          <w:szCs w:val="21"/>
        </w:rPr>
        <w:t>20</w:t>
      </w:r>
      <w:r>
        <w:rPr>
          <w:rFonts w:hint="eastAsia" w:cs="Times New Roman" w:asciiTheme="minorEastAsia" w:hAnsiTheme="minorEastAsia"/>
          <w:kern w:val="0"/>
          <w:szCs w:val="21"/>
        </w:rPr>
        <w:t>个工作日后，可通过</w:t>
      </w:r>
      <w:r>
        <w:rPr>
          <w:rFonts w:hint="eastAsia" w:cs="宋体" w:asciiTheme="minorEastAsia" w:hAnsiTheme="minorEastAsia"/>
          <w:kern w:val="0"/>
          <w:szCs w:val="21"/>
        </w:rPr>
        <w:t>人类遗传资源服务系统或科技部网站查询结果。</w:t>
      </w:r>
    </w:p>
    <w:p>
      <w:pPr>
        <w:widowControl/>
        <w:shd w:val="clear" w:color="auto" w:fill="FFFFFF"/>
        <w:spacing w:line="360" w:lineRule="auto"/>
        <w:rPr>
          <w:rFonts w:hint="eastAsia" w:asciiTheme="minorEastAsia" w:hAnsiTheme="minor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1325F"/>
    <w:multiLevelType w:val="multilevel"/>
    <w:tmpl w:val="2BD1325F"/>
    <w:lvl w:ilvl="0" w:tentative="0">
      <w:start w:val="1"/>
      <w:numFmt w:val="chineseCountingThousand"/>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
    <w:nsid w:val="432B7898"/>
    <w:multiLevelType w:val="multilevel"/>
    <w:tmpl w:val="432B7898"/>
    <w:lvl w:ilvl="0" w:tentative="0">
      <w:start w:val="1"/>
      <w:numFmt w:val="chineseCountingThousand"/>
      <w:lvlText w:val="(%1)"/>
      <w:lvlJc w:val="left"/>
      <w:pPr>
        <w:ind w:left="1035" w:hanging="720"/>
      </w:pPr>
      <w:rPr>
        <w:rFonts w:hint="eastAsia"/>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540333BD"/>
    <w:multiLevelType w:val="multilevel"/>
    <w:tmpl w:val="540333BD"/>
    <w:lvl w:ilvl="0" w:tentative="0">
      <w:start w:val="1"/>
      <w:numFmt w:val="bullet"/>
      <w:lvlText w:val=""/>
      <w:lvlJc w:val="left"/>
      <w:pPr>
        <w:ind w:left="1680" w:hanging="420"/>
      </w:pPr>
      <w:rPr>
        <w:rFonts w:hint="default" w:ascii="Wingdings" w:hAnsi="Wingdings"/>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3">
    <w:nsid w:val="76027A4B"/>
    <w:multiLevelType w:val="multilevel"/>
    <w:tmpl w:val="76027A4B"/>
    <w:lvl w:ilvl="0" w:tentative="0">
      <w:start w:val="1"/>
      <w:numFmt w:val="chineseCountingThousand"/>
      <w:lvlText w:val="%1、"/>
      <w:lvlJc w:val="left"/>
      <w:pPr>
        <w:ind w:left="420" w:hanging="420"/>
      </w:pPr>
      <w:rPr>
        <w:rFonts w:hint="default"/>
      </w:rPr>
    </w:lvl>
    <w:lvl w:ilvl="1" w:tentative="0">
      <w:start w:val="1"/>
      <w:numFmt w:val="chineseCountingThousand"/>
      <w:lvlText w:val="(%2)"/>
      <w:lvlJc w:val="left"/>
      <w:pPr>
        <w:ind w:left="840" w:hanging="420"/>
      </w:pPr>
      <w:rPr>
        <w:rFonts w:hint="eastAsia"/>
      </w:r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8FC1BB4"/>
    <w:multiLevelType w:val="multilevel"/>
    <w:tmpl w:val="78FC1BB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zdkNzgyNTAxZDc5YjE3YjdmMjdkZjJkYjdjYmYifQ=="/>
  </w:docVars>
  <w:rsids>
    <w:rsidRoot w:val="006672C6"/>
    <w:rsid w:val="000404A0"/>
    <w:rsid w:val="00131F56"/>
    <w:rsid w:val="00147E47"/>
    <w:rsid w:val="001D6F83"/>
    <w:rsid w:val="00217FD3"/>
    <w:rsid w:val="00281E37"/>
    <w:rsid w:val="002F4CAE"/>
    <w:rsid w:val="00361A98"/>
    <w:rsid w:val="003E4500"/>
    <w:rsid w:val="0043561A"/>
    <w:rsid w:val="00487A1E"/>
    <w:rsid w:val="004B5FC0"/>
    <w:rsid w:val="00572531"/>
    <w:rsid w:val="005B3AE1"/>
    <w:rsid w:val="005C3E94"/>
    <w:rsid w:val="00613B3A"/>
    <w:rsid w:val="006301BE"/>
    <w:rsid w:val="006672C6"/>
    <w:rsid w:val="006711CC"/>
    <w:rsid w:val="00671C97"/>
    <w:rsid w:val="006D1890"/>
    <w:rsid w:val="00710ADB"/>
    <w:rsid w:val="007225C5"/>
    <w:rsid w:val="00732B54"/>
    <w:rsid w:val="007556AC"/>
    <w:rsid w:val="00794487"/>
    <w:rsid w:val="007D4BB7"/>
    <w:rsid w:val="008045EF"/>
    <w:rsid w:val="00805337"/>
    <w:rsid w:val="008B002A"/>
    <w:rsid w:val="008D0CCA"/>
    <w:rsid w:val="0090730E"/>
    <w:rsid w:val="00932267"/>
    <w:rsid w:val="0098226C"/>
    <w:rsid w:val="009B1AC3"/>
    <w:rsid w:val="00A05814"/>
    <w:rsid w:val="00A33C46"/>
    <w:rsid w:val="00A8148F"/>
    <w:rsid w:val="00AB0A7E"/>
    <w:rsid w:val="00AC69FD"/>
    <w:rsid w:val="00AD6FE3"/>
    <w:rsid w:val="00B05739"/>
    <w:rsid w:val="00B200AD"/>
    <w:rsid w:val="00B7261D"/>
    <w:rsid w:val="00B86DB3"/>
    <w:rsid w:val="00B878C2"/>
    <w:rsid w:val="00BD3266"/>
    <w:rsid w:val="00BD72B6"/>
    <w:rsid w:val="00C13E1D"/>
    <w:rsid w:val="00C205D0"/>
    <w:rsid w:val="00CA1913"/>
    <w:rsid w:val="00CE308D"/>
    <w:rsid w:val="00DA4D8D"/>
    <w:rsid w:val="00DE230D"/>
    <w:rsid w:val="00DE6B49"/>
    <w:rsid w:val="00EA7EB6"/>
    <w:rsid w:val="00F1722C"/>
    <w:rsid w:val="00F71CC5"/>
    <w:rsid w:val="00FC6334"/>
    <w:rsid w:val="00FD31C0"/>
    <w:rsid w:val="00FE7204"/>
    <w:rsid w:val="00FF7E93"/>
    <w:rsid w:val="15BB1A80"/>
    <w:rsid w:val="29B661FB"/>
    <w:rsid w:val="599B098E"/>
    <w:rsid w:val="6FE03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uiPriority w:val="99"/>
    <w:rPr>
      <w:color w:val="0000FF"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11</Pages>
  <Words>1543</Words>
  <Characters>8799</Characters>
  <Lines>73</Lines>
  <Paragraphs>20</Paragraphs>
  <TotalTime>45</TotalTime>
  <ScaleCrop>false</ScaleCrop>
  <LinksUpToDate>false</LinksUpToDate>
  <CharactersWithSpaces>10322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2023-07-20T09:25:00Z</dcterms:created>
  <dc:creator>舒丹</dc:creator>
  <cp:lastModifiedBy>Diane</cp:lastModifiedBy>
  <dcterms:modified xsi:type="dcterms:W3CDTF">2024-03-13T02:00:57Z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461DB25B64E74A8D9A40C542B7E9978B_13</vt:lpwstr>
  </property>
</Properties>
</file>