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CB21">
      <w:pPr>
        <w:pStyle w:val="11"/>
      </w:pPr>
      <w:r>
        <w:rPr>
          <w:rFonts w:hint="eastAsia"/>
        </w:rPr>
        <w:t>服务类项目需求模板</w:t>
      </w:r>
    </w:p>
    <w:tbl>
      <w:tblPr>
        <w:tblStyle w:val="12"/>
        <w:tblW w:w="9995"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659"/>
        <w:gridCol w:w="3364"/>
        <w:gridCol w:w="1662"/>
        <w:gridCol w:w="2841"/>
      </w:tblGrid>
      <w:tr w14:paraId="2684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43" w:type="dxa"/>
            <w:gridSpan w:val="2"/>
            <w:vAlign w:val="center"/>
          </w:tcPr>
          <w:p w14:paraId="3FAFCF7E">
            <w:pPr>
              <w:jc w:val="center"/>
            </w:pPr>
            <w:r>
              <w:rPr>
                <w:rFonts w:hint="eastAsia"/>
              </w:rPr>
              <w:t>项目名称</w:t>
            </w:r>
          </w:p>
        </w:tc>
        <w:tc>
          <w:tcPr>
            <w:tcW w:w="3228" w:type="dxa"/>
            <w:vAlign w:val="center"/>
          </w:tcPr>
          <w:p w14:paraId="6CF9CA76">
            <w:pPr>
              <w:jc w:val="center"/>
            </w:pPr>
            <w:r>
              <w:rPr>
                <w:rFonts w:hint="eastAsia"/>
              </w:rPr>
              <w:t>老年医学统一应用平台系统</w:t>
            </w:r>
          </w:p>
          <w:p w14:paraId="533D63F3">
            <w:pPr>
              <w:jc w:val="center"/>
            </w:pPr>
            <w:r>
              <w:rPr>
                <w:rFonts w:hint="eastAsia"/>
              </w:rPr>
              <w:t>-老年综合评估模块</w:t>
            </w:r>
          </w:p>
        </w:tc>
        <w:tc>
          <w:tcPr>
            <w:tcW w:w="1595" w:type="dxa"/>
            <w:vAlign w:val="center"/>
          </w:tcPr>
          <w:p w14:paraId="2084F7E4">
            <w:pPr>
              <w:jc w:val="center"/>
            </w:pPr>
            <w:r>
              <w:t>采购类型</w:t>
            </w:r>
          </w:p>
        </w:tc>
        <w:tc>
          <w:tcPr>
            <w:tcW w:w="2726" w:type="dxa"/>
            <w:vAlign w:val="center"/>
          </w:tcPr>
          <w:p w14:paraId="3F303057">
            <w:pPr>
              <w:jc w:val="center"/>
            </w:pPr>
            <w:r>
              <w:rPr>
                <w:rFonts w:hint="eastAsia"/>
              </w:rPr>
              <w:t>服务类</w:t>
            </w:r>
          </w:p>
        </w:tc>
      </w:tr>
      <w:tr w14:paraId="3847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43" w:type="dxa"/>
            <w:gridSpan w:val="2"/>
            <w:vAlign w:val="center"/>
          </w:tcPr>
          <w:p w14:paraId="7B238073">
            <w:pPr>
              <w:jc w:val="center"/>
            </w:pPr>
            <w:r>
              <w:rPr>
                <w:rFonts w:hint="eastAsia"/>
              </w:rPr>
              <w:t>采购人名称</w:t>
            </w:r>
          </w:p>
        </w:tc>
        <w:tc>
          <w:tcPr>
            <w:tcW w:w="3228" w:type="dxa"/>
            <w:vAlign w:val="center"/>
          </w:tcPr>
          <w:p w14:paraId="1514A814">
            <w:pPr>
              <w:jc w:val="center"/>
            </w:pPr>
            <w:r>
              <w:rPr>
                <w:rFonts w:hint="eastAsia"/>
              </w:rPr>
              <w:t>深圳市第三人民医院</w:t>
            </w:r>
          </w:p>
        </w:tc>
        <w:tc>
          <w:tcPr>
            <w:tcW w:w="1595" w:type="dxa"/>
            <w:vAlign w:val="center"/>
          </w:tcPr>
          <w:p w14:paraId="37945D59">
            <w:pPr>
              <w:jc w:val="center"/>
            </w:pPr>
            <w:r>
              <w:t>采购方式</w:t>
            </w:r>
          </w:p>
        </w:tc>
        <w:tc>
          <w:tcPr>
            <w:tcW w:w="2726" w:type="dxa"/>
            <w:vAlign w:val="center"/>
          </w:tcPr>
          <w:p w14:paraId="4A9D8D13">
            <w:pPr>
              <w:jc w:val="center"/>
            </w:pPr>
            <w:r>
              <w:rPr>
                <w:rFonts w:hint="eastAsia"/>
              </w:rPr>
              <w:t>公开招标</w:t>
            </w:r>
          </w:p>
        </w:tc>
      </w:tr>
      <w:tr w14:paraId="32F9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43" w:type="dxa"/>
            <w:gridSpan w:val="2"/>
            <w:vAlign w:val="center"/>
          </w:tcPr>
          <w:p w14:paraId="2C513AB6">
            <w:pPr>
              <w:jc w:val="center"/>
            </w:pPr>
            <w:r>
              <w:rPr>
                <w:rFonts w:hint="eastAsia"/>
              </w:rPr>
              <w:t>预算限额（元）</w:t>
            </w:r>
          </w:p>
        </w:tc>
        <w:tc>
          <w:tcPr>
            <w:tcW w:w="7549" w:type="dxa"/>
            <w:gridSpan w:val="3"/>
            <w:vAlign w:val="center"/>
          </w:tcPr>
          <w:p w14:paraId="7F9F9A16">
            <w:pPr>
              <w:jc w:val="center"/>
            </w:pPr>
            <w:r>
              <w:rPr>
                <w:rFonts w:hint="eastAsia"/>
              </w:rPr>
              <w:t>300000元</w:t>
            </w:r>
          </w:p>
        </w:tc>
      </w:tr>
      <w:tr w14:paraId="4085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43" w:type="dxa"/>
            <w:gridSpan w:val="2"/>
            <w:vAlign w:val="center"/>
          </w:tcPr>
          <w:p w14:paraId="4BD016CA">
            <w:pPr>
              <w:jc w:val="center"/>
            </w:pPr>
            <w:r>
              <w:rPr>
                <w:rFonts w:hint="eastAsia"/>
              </w:rPr>
              <w:t>项目背景</w:t>
            </w:r>
          </w:p>
        </w:tc>
        <w:tc>
          <w:tcPr>
            <w:tcW w:w="7549" w:type="dxa"/>
            <w:gridSpan w:val="3"/>
          </w:tcPr>
          <w:p w14:paraId="6A9D4A01">
            <w:r>
              <w:rPr>
                <w:rFonts w:hint="eastAsia"/>
              </w:rPr>
              <w:t>老年医学整体技术与科室发展建设需求</w:t>
            </w:r>
          </w:p>
          <w:p w14:paraId="687B43C4">
            <w:r>
              <w:rPr>
                <w:rFonts w:hint="eastAsia"/>
              </w:rPr>
              <w:t>1、根据《国家卫生健康委办公厅关于印发老年医学科建设与管理指南（试行）的通知》的要求：老年医学科应当采用老年综合评估常规模式对老年患者进行医疗救治。需要引进老年综合评估系统开展老年综合评估业务；</w:t>
            </w:r>
          </w:p>
          <w:p w14:paraId="11B314D3">
            <w:r>
              <w:rPr>
                <w:rFonts w:hint="eastAsia"/>
              </w:rPr>
              <w:t>2、老年综合评估是老年科特色、核心技术，对老年患者进行科学持续的综合评估，结合临床疾病诊断、药物治疗和康复治疗等，并给予连续性、全面干预和管理，能最大程度地维护和改善患者的健康与功能状态，改善老年患者的健康状况，并提高老年患者的生存质量；并能为专科治疗提供最大程度的协同管理和辅助；</w:t>
            </w:r>
          </w:p>
          <w:p w14:paraId="19DB902B">
            <w:r>
              <w:rPr>
                <w:rFonts w:hint="eastAsia"/>
              </w:rPr>
              <w:t>3、通过引入成熟的老年综合评估系统，采用先进的软件系统对患者开展评估，科学、高效、准确，评估的过程能够被科学管理，产生的数据可用于临床教学与科研；</w:t>
            </w:r>
          </w:p>
          <w:p w14:paraId="58ED32ED">
            <w:r>
              <w:rPr>
                <w:rFonts w:hint="eastAsia"/>
              </w:rPr>
              <w:t>4、老年综合评估是创建老年友善医院的重要建设与考核指标（占比约30%）。</w:t>
            </w:r>
          </w:p>
        </w:tc>
      </w:tr>
      <w:tr w14:paraId="1502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1" w:type="dxa"/>
            <w:vAlign w:val="center"/>
          </w:tcPr>
          <w:p w14:paraId="497B9FCA">
            <w:pPr>
              <w:jc w:val="center"/>
            </w:pPr>
            <w:r>
              <w:rPr>
                <w:rFonts w:hint="eastAsia" w:ascii="宋体" w:hAnsi="宋体" w:cs="宋体"/>
                <w:kern w:val="0"/>
                <w:szCs w:val="21"/>
              </w:rPr>
              <w:t>投标人资质要求</w:t>
            </w:r>
          </w:p>
        </w:tc>
        <w:tc>
          <w:tcPr>
            <w:tcW w:w="9141" w:type="dxa"/>
            <w:gridSpan w:val="4"/>
          </w:tcPr>
          <w:p w14:paraId="29E8E052">
            <w:pPr>
              <w:rPr>
                <w:rFonts w:ascii="宋体" w:hAnsi="宋体" w:cs="宋体"/>
                <w:b/>
                <w:kern w:val="0"/>
                <w:szCs w:val="21"/>
              </w:rPr>
            </w:pPr>
            <w:r>
              <w:rPr>
                <w:rFonts w:hint="eastAsia" w:ascii="宋体" w:hAnsi="宋体" w:cs="宋体"/>
                <w:b/>
                <w:kern w:val="0"/>
                <w:szCs w:val="21"/>
              </w:rPr>
              <w:t>（一）在中国境内注册并具有独立法人资格的合法企业，在有效经营期内，具有投标项目的经营范围。</w:t>
            </w:r>
          </w:p>
          <w:p w14:paraId="75DC146E">
            <w:pPr>
              <w:rPr>
                <w:rFonts w:ascii="宋体" w:hAnsi="宋体" w:cs="宋体"/>
                <w:b/>
                <w:kern w:val="0"/>
                <w:szCs w:val="21"/>
              </w:rPr>
            </w:pPr>
            <w:r>
              <w:rPr>
                <w:rFonts w:hint="eastAsia" w:ascii="宋体" w:hAnsi="宋体" w:cs="宋体"/>
                <w:b/>
                <w:kern w:val="0"/>
                <w:szCs w:val="21"/>
              </w:rPr>
              <w:t>（二）具有良好的商业信誉和健全的财务会计制度；</w:t>
            </w:r>
          </w:p>
          <w:p w14:paraId="369211BA">
            <w:pPr>
              <w:rPr>
                <w:rFonts w:ascii="宋体" w:hAnsi="宋体" w:cs="宋体"/>
                <w:b/>
                <w:kern w:val="0"/>
                <w:szCs w:val="21"/>
              </w:rPr>
            </w:pPr>
            <w:r>
              <w:rPr>
                <w:rFonts w:hint="eastAsia" w:ascii="宋体" w:hAnsi="宋体" w:cs="宋体"/>
                <w:b/>
                <w:kern w:val="0"/>
                <w:szCs w:val="21"/>
              </w:rPr>
              <w:t>（三）具有履行合同所必须的设备和专业技术能力；</w:t>
            </w:r>
          </w:p>
          <w:p w14:paraId="48760E5D">
            <w:pPr>
              <w:rPr>
                <w:rFonts w:ascii="宋体" w:hAnsi="宋体" w:cs="宋体"/>
                <w:b/>
                <w:kern w:val="0"/>
                <w:szCs w:val="21"/>
              </w:rPr>
            </w:pPr>
            <w:r>
              <w:rPr>
                <w:rFonts w:hint="eastAsia" w:ascii="宋体" w:hAnsi="宋体" w:cs="宋体"/>
                <w:b/>
                <w:kern w:val="0"/>
                <w:szCs w:val="21"/>
              </w:rPr>
              <w:t>（四）具有依法缴纳税收和社会保障资金的良好记录；</w:t>
            </w:r>
          </w:p>
          <w:p w14:paraId="3D9F99BF">
            <w:pPr>
              <w:rPr>
                <w:rFonts w:ascii="宋体" w:hAnsi="宋体" w:cs="宋体"/>
                <w:b/>
                <w:kern w:val="0"/>
                <w:szCs w:val="21"/>
              </w:rPr>
            </w:pPr>
            <w:r>
              <w:rPr>
                <w:rFonts w:hint="eastAsia" w:ascii="宋体" w:hAnsi="宋体" w:cs="宋体"/>
                <w:b/>
                <w:kern w:val="0"/>
                <w:szCs w:val="21"/>
              </w:rPr>
              <w:t>（五）供应商在本项目投标截止时间前，未被列入“信用中国”网站(ww. creditchina. gov. cn)失信被执行人名单、重大税收违法案件当事人名单和中国政府采购网(ww. ccgp. gov. cn)政府采购严重违法失信行为记录名单的供应商（提供查询截图）；</w:t>
            </w:r>
          </w:p>
          <w:p w14:paraId="3F1CBB50">
            <w:pPr>
              <w:rPr>
                <w:rFonts w:ascii="宋体" w:hAnsi="宋体" w:cs="宋体"/>
                <w:b/>
                <w:kern w:val="0"/>
                <w:szCs w:val="21"/>
              </w:rPr>
            </w:pPr>
            <w:r>
              <w:rPr>
                <w:rFonts w:hint="eastAsia" w:ascii="宋体" w:hAnsi="宋体" w:cs="宋体"/>
                <w:b/>
                <w:kern w:val="0"/>
                <w:szCs w:val="21"/>
              </w:rPr>
              <w:t>（六）供应商及其现任法定代表人(主要负责人)不得具有行贿犯罪记录；</w:t>
            </w:r>
          </w:p>
          <w:p w14:paraId="5776A9BB">
            <w:pPr>
              <w:rPr>
                <w:rFonts w:ascii="宋体" w:hAnsi="宋体" w:cs="宋体"/>
                <w:b/>
                <w:kern w:val="0"/>
                <w:szCs w:val="21"/>
              </w:rPr>
            </w:pPr>
            <w:r>
              <w:rPr>
                <w:rFonts w:hint="eastAsia" w:ascii="宋体" w:hAnsi="宋体" w:cs="宋体"/>
                <w:b/>
                <w:kern w:val="0"/>
                <w:szCs w:val="21"/>
              </w:rPr>
              <w:t>（七）法律、行政法规规定的其他条件；</w:t>
            </w:r>
          </w:p>
          <w:p w14:paraId="7FC205CB">
            <w:pPr>
              <w:rPr>
                <w:rFonts w:ascii="宋体" w:hAnsi="宋体" w:cs="宋体"/>
                <w:b/>
                <w:color w:val="FF0000"/>
                <w:kern w:val="0"/>
                <w:szCs w:val="21"/>
              </w:rPr>
            </w:pPr>
            <w:r>
              <w:rPr>
                <w:rFonts w:hint="eastAsia" w:ascii="宋体" w:hAnsi="宋体" w:cs="宋体"/>
                <w:b/>
                <w:kern w:val="0"/>
                <w:szCs w:val="21"/>
              </w:rPr>
              <w:t>（八）本项目不接受联合投标。</w:t>
            </w:r>
          </w:p>
        </w:tc>
      </w:tr>
      <w:tr w14:paraId="4FDB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1" w:type="dxa"/>
          </w:tcPr>
          <w:p w14:paraId="65B93870">
            <w:pPr>
              <w:jc w:val="center"/>
              <w:rPr>
                <w:rFonts w:ascii="宋体" w:hAnsi="宋体" w:cs="宋体"/>
                <w:kern w:val="0"/>
                <w:szCs w:val="21"/>
              </w:rPr>
            </w:pPr>
            <w:r>
              <w:rPr>
                <w:rFonts w:hint="eastAsia" w:ascii="宋体" w:hAnsi="宋体" w:cs="宋体"/>
                <w:kern w:val="0"/>
                <w:szCs w:val="21"/>
              </w:rPr>
              <w:t>清单</w:t>
            </w:r>
          </w:p>
        </w:tc>
        <w:tc>
          <w:tcPr>
            <w:tcW w:w="9141" w:type="dxa"/>
            <w:gridSpan w:val="4"/>
          </w:tcPr>
          <w:tbl>
            <w:tblPr>
              <w:tblStyle w:val="12"/>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282"/>
              <w:gridCol w:w="834"/>
              <w:gridCol w:w="1117"/>
              <w:gridCol w:w="1143"/>
              <w:gridCol w:w="1117"/>
            </w:tblGrid>
            <w:tr w14:paraId="0BBD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71" w:type="dxa"/>
                  <w:vAlign w:val="center"/>
                </w:tcPr>
                <w:p w14:paraId="5FCF5635">
                  <w:pPr>
                    <w:jc w:val="center"/>
                    <w:rPr>
                      <w:bCs/>
                      <w:szCs w:val="21"/>
                    </w:rPr>
                  </w:pPr>
                  <w:r>
                    <w:rPr>
                      <w:rFonts w:hint="eastAsia"/>
                      <w:bCs/>
                      <w:szCs w:val="21"/>
                    </w:rPr>
                    <w:t>序号</w:t>
                  </w:r>
                </w:p>
              </w:tc>
              <w:tc>
                <w:tcPr>
                  <w:tcW w:w="3282" w:type="dxa"/>
                  <w:vAlign w:val="center"/>
                </w:tcPr>
                <w:p w14:paraId="6D603C40">
                  <w:pPr>
                    <w:jc w:val="center"/>
                    <w:rPr>
                      <w:bCs/>
                      <w:szCs w:val="21"/>
                    </w:rPr>
                  </w:pPr>
                  <w:r>
                    <w:rPr>
                      <w:rFonts w:hint="eastAsia"/>
                      <w:bCs/>
                      <w:szCs w:val="21"/>
                    </w:rPr>
                    <w:t>标的</w:t>
                  </w:r>
                </w:p>
              </w:tc>
              <w:tc>
                <w:tcPr>
                  <w:tcW w:w="834" w:type="dxa"/>
                  <w:vAlign w:val="center"/>
                </w:tcPr>
                <w:p w14:paraId="6FD7B1FD">
                  <w:pPr>
                    <w:jc w:val="center"/>
                    <w:rPr>
                      <w:bCs/>
                      <w:szCs w:val="21"/>
                    </w:rPr>
                  </w:pPr>
                  <w:r>
                    <w:rPr>
                      <w:rFonts w:hint="eastAsia"/>
                      <w:bCs/>
                      <w:szCs w:val="21"/>
                    </w:rPr>
                    <w:t>数量</w:t>
                  </w:r>
                </w:p>
              </w:tc>
              <w:tc>
                <w:tcPr>
                  <w:tcW w:w="1117" w:type="dxa"/>
                  <w:vAlign w:val="center"/>
                </w:tcPr>
                <w:p w14:paraId="2FEB2470">
                  <w:pPr>
                    <w:jc w:val="center"/>
                    <w:rPr>
                      <w:bCs/>
                      <w:szCs w:val="21"/>
                    </w:rPr>
                  </w:pPr>
                  <w:r>
                    <w:rPr>
                      <w:rFonts w:hint="eastAsia"/>
                      <w:bCs/>
                      <w:szCs w:val="21"/>
                    </w:rPr>
                    <w:t>单位</w:t>
                  </w:r>
                </w:p>
              </w:tc>
              <w:tc>
                <w:tcPr>
                  <w:tcW w:w="1143" w:type="dxa"/>
                  <w:vAlign w:val="center"/>
                </w:tcPr>
                <w:p w14:paraId="5E0F54D9">
                  <w:pPr>
                    <w:jc w:val="center"/>
                    <w:rPr>
                      <w:bCs/>
                      <w:szCs w:val="21"/>
                    </w:rPr>
                  </w:pPr>
                  <w:r>
                    <w:rPr>
                      <w:rFonts w:hint="eastAsia"/>
                      <w:bCs/>
                      <w:szCs w:val="21"/>
                    </w:rPr>
                    <w:t>备注</w:t>
                  </w:r>
                </w:p>
              </w:tc>
              <w:tc>
                <w:tcPr>
                  <w:tcW w:w="1117" w:type="dxa"/>
                  <w:vAlign w:val="center"/>
                </w:tcPr>
                <w:p w14:paraId="50F2EC70">
                  <w:pPr>
                    <w:jc w:val="center"/>
                    <w:rPr>
                      <w:bCs/>
                      <w:szCs w:val="21"/>
                    </w:rPr>
                  </w:pPr>
                  <w:r>
                    <w:rPr>
                      <w:rFonts w:hint="eastAsia"/>
                      <w:bCs/>
                      <w:szCs w:val="21"/>
                    </w:rPr>
                    <w:t>预算限额（元）</w:t>
                  </w:r>
                </w:p>
              </w:tc>
            </w:tr>
            <w:tr w14:paraId="20F0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5228338A">
                  <w:pPr>
                    <w:jc w:val="center"/>
                    <w:rPr>
                      <w:bCs/>
                      <w:szCs w:val="21"/>
                    </w:rPr>
                  </w:pPr>
                  <w:r>
                    <w:rPr>
                      <w:rFonts w:hint="eastAsia"/>
                      <w:bCs/>
                      <w:szCs w:val="21"/>
                    </w:rPr>
                    <w:t>1</w:t>
                  </w:r>
                </w:p>
              </w:tc>
              <w:tc>
                <w:tcPr>
                  <w:tcW w:w="3282" w:type="dxa"/>
                  <w:shd w:val="clear" w:color="auto" w:fill="auto"/>
                  <w:vAlign w:val="center"/>
                </w:tcPr>
                <w:p w14:paraId="193FE668">
                  <w:pPr>
                    <w:jc w:val="center"/>
                  </w:pPr>
                  <w:r>
                    <w:rPr>
                      <w:rFonts w:hint="eastAsia"/>
                    </w:rPr>
                    <w:t>老年医学统一应用平台系统</w:t>
                  </w:r>
                </w:p>
                <w:p w14:paraId="3E3B5988">
                  <w:pPr>
                    <w:jc w:val="center"/>
                    <w:rPr>
                      <w:bCs/>
                      <w:szCs w:val="21"/>
                    </w:rPr>
                  </w:pPr>
                  <w:r>
                    <w:rPr>
                      <w:rFonts w:hint="eastAsia"/>
                    </w:rPr>
                    <w:t>-老年综合评估模块</w:t>
                  </w:r>
                </w:p>
              </w:tc>
              <w:tc>
                <w:tcPr>
                  <w:tcW w:w="834" w:type="dxa"/>
                  <w:vAlign w:val="center"/>
                </w:tcPr>
                <w:p w14:paraId="62A0E2A2">
                  <w:pPr>
                    <w:jc w:val="center"/>
                    <w:rPr>
                      <w:bCs/>
                      <w:szCs w:val="21"/>
                    </w:rPr>
                  </w:pPr>
                  <w:r>
                    <w:rPr>
                      <w:rFonts w:hint="eastAsia"/>
                      <w:bCs/>
                      <w:szCs w:val="21"/>
                    </w:rPr>
                    <w:t>1</w:t>
                  </w:r>
                </w:p>
              </w:tc>
              <w:tc>
                <w:tcPr>
                  <w:tcW w:w="1117" w:type="dxa"/>
                  <w:vAlign w:val="center"/>
                </w:tcPr>
                <w:p w14:paraId="585AB223">
                  <w:pPr>
                    <w:jc w:val="center"/>
                    <w:rPr>
                      <w:bCs/>
                      <w:szCs w:val="21"/>
                    </w:rPr>
                  </w:pPr>
                  <w:r>
                    <w:rPr>
                      <w:rFonts w:hint="eastAsia"/>
                      <w:bCs/>
                      <w:szCs w:val="21"/>
                    </w:rPr>
                    <w:t>套</w:t>
                  </w:r>
                </w:p>
              </w:tc>
              <w:tc>
                <w:tcPr>
                  <w:tcW w:w="1143" w:type="dxa"/>
                  <w:vAlign w:val="center"/>
                </w:tcPr>
                <w:p w14:paraId="4FEF8ACF">
                  <w:pPr>
                    <w:jc w:val="center"/>
                    <w:rPr>
                      <w:bCs/>
                      <w:szCs w:val="21"/>
                    </w:rPr>
                  </w:pPr>
                  <w:r>
                    <w:rPr>
                      <w:rFonts w:hint="eastAsia"/>
                      <w:bCs/>
                      <w:szCs w:val="21"/>
                    </w:rPr>
                    <w:t>无</w:t>
                  </w:r>
                </w:p>
              </w:tc>
              <w:tc>
                <w:tcPr>
                  <w:tcW w:w="1117" w:type="dxa"/>
                  <w:vAlign w:val="center"/>
                </w:tcPr>
                <w:p w14:paraId="6FD4E23E">
                  <w:pPr>
                    <w:jc w:val="center"/>
                    <w:rPr>
                      <w:bCs/>
                      <w:szCs w:val="21"/>
                    </w:rPr>
                  </w:pPr>
                  <w:r>
                    <w:rPr>
                      <w:rFonts w:hint="eastAsia"/>
                      <w:bCs/>
                      <w:szCs w:val="21"/>
                    </w:rPr>
                    <w:t>300000元</w:t>
                  </w:r>
                </w:p>
              </w:tc>
            </w:tr>
          </w:tbl>
          <w:p w14:paraId="08B30BBA"/>
        </w:tc>
      </w:tr>
      <w:tr w14:paraId="0615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51" w:type="dxa"/>
            <w:vAlign w:val="center"/>
          </w:tcPr>
          <w:p w14:paraId="55AB2AA2">
            <w:pPr>
              <w:jc w:val="center"/>
              <w:rPr>
                <w:rFonts w:ascii="宋体" w:hAnsi="宋体" w:cs="宋体"/>
                <w:kern w:val="0"/>
                <w:szCs w:val="21"/>
              </w:rPr>
            </w:pPr>
            <w:r>
              <w:rPr>
                <w:rFonts w:hint="eastAsia" w:ascii="宋体" w:hAnsi="宋体" w:cs="宋体"/>
                <w:kern w:val="0"/>
                <w:szCs w:val="21"/>
              </w:rPr>
              <w:t>具体技术要求</w:t>
            </w:r>
          </w:p>
        </w:tc>
        <w:tc>
          <w:tcPr>
            <w:tcW w:w="9141" w:type="dxa"/>
            <w:gridSpan w:val="4"/>
          </w:tcPr>
          <w:p w14:paraId="6F1D01CB">
            <w:pPr>
              <w:rPr>
                <w:b/>
                <w:bCs/>
              </w:rPr>
            </w:pPr>
            <w:r>
              <w:rPr>
                <w:rFonts w:hint="eastAsia"/>
                <w:b/>
                <w:bCs/>
              </w:rPr>
              <w:t>一、系统功能要求</w:t>
            </w:r>
          </w:p>
          <w:p w14:paraId="674273FB">
            <w:r>
              <w:rPr>
                <w:rFonts w:hint="eastAsia"/>
              </w:rPr>
              <w:t>▲1.UAPCenter</w:t>
            </w:r>
          </w:p>
          <w:p w14:paraId="71958E29">
            <w:r>
              <w:rPr>
                <w:rFonts w:hint="eastAsia"/>
              </w:rPr>
              <w:t>老年医学统一应用集成，统一数据中心与应用底层，支持数据统一对接，避免重复建设；多中心多机构账户管理，支持三级账号管理逻辑关系创建。</w:t>
            </w:r>
          </w:p>
          <w:p w14:paraId="7B571A96">
            <w:r>
              <w:rPr>
                <w:rFonts w:hint="eastAsia"/>
              </w:rPr>
              <w:t>2.患者创建与管理</w:t>
            </w:r>
          </w:p>
          <w:p w14:paraId="085C14DA">
            <w:r>
              <w:rPr>
                <w:rFonts w:hint="eastAsia"/>
              </w:rPr>
              <w:t>创建评估/受试患者信息，患者记录并完善信息，身份证为患者唯一识别码。</w:t>
            </w:r>
          </w:p>
          <w:p w14:paraId="52E8F279">
            <w:r>
              <w:rPr>
                <w:rFonts w:hint="eastAsia"/>
              </w:rPr>
              <w:t>▲3.MDT多学科团队创建与管理</w:t>
            </w:r>
          </w:p>
          <w:p w14:paraId="7272EC50">
            <w:r>
              <w:rPr>
                <w:rFonts w:hint="eastAsia"/>
              </w:rPr>
              <w:t>创建老年综合评估与老年综合征管理多学科团队，支持团队角色分权限评估过程管理。</w:t>
            </w:r>
          </w:p>
          <w:p w14:paraId="5F3F0A86">
            <w:r>
              <w:rPr>
                <w:rFonts w:hint="eastAsia"/>
              </w:rPr>
              <w:t>▲4.智能筛查医学模型</w:t>
            </w:r>
          </w:p>
          <w:p w14:paraId="4FA9735D">
            <w:r>
              <w:rPr>
                <w:rFonts w:hint="eastAsia"/>
              </w:rPr>
              <w:t>专家临床智能筛查医学模型，提前识别老年综合征，提高评估效率。</w:t>
            </w:r>
          </w:p>
          <w:p w14:paraId="2C645B0E">
            <w:r>
              <w:rPr>
                <w:rFonts w:hint="eastAsia"/>
              </w:rPr>
              <w:t>5.CGA</w:t>
            </w:r>
          </w:p>
          <w:p w14:paraId="4A19E3BF">
            <w:r>
              <w:rPr>
                <w:rFonts w:hint="eastAsia"/>
              </w:rPr>
              <w:t>进行老年综合评估，可采用多种评估模型与智能评估方式。</w:t>
            </w:r>
          </w:p>
          <w:p w14:paraId="63BC7CAD">
            <w:r>
              <w:rPr>
                <w:rFonts w:hint="eastAsia"/>
              </w:rPr>
              <w:t>6.评估管理与报告打印</w:t>
            </w:r>
          </w:p>
          <w:p w14:paraId="04C27F69">
            <w:r>
              <w:rPr>
                <w:rFonts w:hint="eastAsia"/>
              </w:rPr>
              <w:t>多种评估报告，提供组合打印，适用于不同业务场景。</w:t>
            </w:r>
          </w:p>
          <w:p w14:paraId="24BB029D">
            <w:r>
              <w:rPr>
                <w:rFonts w:hint="eastAsia"/>
              </w:rPr>
              <w:t>▲7.CGA医学模型管理</w:t>
            </w:r>
          </w:p>
          <w:p w14:paraId="4C100C83">
            <w:r>
              <w:rPr>
                <w:rFonts w:hint="eastAsia"/>
              </w:rPr>
              <w:t>三维构建CGA临床医学评估模型，可配置，可管理。</w:t>
            </w:r>
          </w:p>
          <w:p w14:paraId="731F68B4">
            <w:r>
              <w:rPr>
                <w:rFonts w:hint="eastAsia"/>
              </w:rPr>
              <w:t>▲8.数据看板</w:t>
            </w:r>
          </w:p>
          <w:p w14:paraId="7FF3E1A3">
            <w:r>
              <w:rPr>
                <w:rFonts w:hint="eastAsia"/>
              </w:rPr>
              <w:t>对CGA数据库元数据进行数据清洗、计算、挖掘，并进行专业统计绘图，支持临床数据统</w:t>
            </w:r>
          </w:p>
          <w:p w14:paraId="39396714">
            <w:r>
              <w:rPr>
                <w:rFonts w:hint="eastAsia"/>
              </w:rPr>
              <w:t>计与科研数据统计。</w:t>
            </w:r>
          </w:p>
          <w:p w14:paraId="474769EE">
            <w:r>
              <w:rPr>
                <w:rFonts w:hint="eastAsia"/>
              </w:rPr>
              <w:t>9.数据管理</w:t>
            </w:r>
          </w:p>
          <w:p w14:paraId="73F052ED">
            <w:r>
              <w:rPr>
                <w:rFonts w:hint="eastAsia"/>
              </w:rPr>
              <w:t>支持数据自动、手动进行容灾备份，并支持数据导出。</w:t>
            </w:r>
          </w:p>
          <w:p w14:paraId="5FABB80C">
            <w:r>
              <w:rPr>
                <w:rFonts w:hint="eastAsia"/>
              </w:rPr>
              <w:t>10.权限设置与管理</w:t>
            </w:r>
          </w:p>
          <w:p w14:paraId="59EBFD5A">
            <w:r>
              <w:rPr>
                <w:rFonts w:hint="eastAsia"/>
              </w:rPr>
              <w:t>提供多级、多权限的角色权限设置，让临床与科研工作更安全、稳定。</w:t>
            </w:r>
          </w:p>
          <w:p w14:paraId="45883010">
            <w:pPr>
              <w:rPr>
                <w:b/>
                <w:bCs/>
              </w:rPr>
            </w:pPr>
            <w:r>
              <w:rPr>
                <w:rFonts w:hint="eastAsia"/>
                <w:b/>
                <w:bCs/>
              </w:rPr>
              <w:t>二、系统技术参数要求</w:t>
            </w:r>
          </w:p>
          <w:p w14:paraId="6B0F83F3">
            <w:r>
              <w:rPr>
                <w:rFonts w:hint="eastAsia"/>
              </w:rPr>
              <w:t>1、SAAS软件；</w:t>
            </w:r>
          </w:p>
          <w:p w14:paraId="5CEA0EE1">
            <w:r>
              <w:rPr>
                <w:rFonts w:hint="eastAsia"/>
              </w:rPr>
              <w:t>2、采用面向服务的分布式微服务架构；</w:t>
            </w:r>
          </w:p>
          <w:p w14:paraId="271AC202">
            <w:r>
              <w:rPr>
                <w:rFonts w:hint="eastAsia"/>
              </w:rPr>
              <w:t>3、采用轻量级容器化Docker部署技术方式；</w:t>
            </w:r>
          </w:p>
          <w:p w14:paraId="77B126D1">
            <w:r>
              <w:rPr>
                <w:rFonts w:hint="eastAsia"/>
              </w:rPr>
              <w:t>4、使用开发语言和相关技术栈：</w:t>
            </w:r>
          </w:p>
          <w:p w14:paraId="62484439">
            <w:r>
              <w:rPr>
                <w:rFonts w:hint="eastAsia"/>
              </w:rPr>
              <w:t>（1）Server：Java，Spring，Springboot,Springcloud，Mybatis；</w:t>
            </w:r>
          </w:p>
          <w:p w14:paraId="39D8F512">
            <w:r>
              <w:rPr>
                <w:rFonts w:hint="eastAsia"/>
              </w:rPr>
              <w:t>（2）PC：JavaScript，CSS3，HTML5，Vue；</w:t>
            </w:r>
          </w:p>
          <w:p w14:paraId="141B6DE8">
            <w:r>
              <w:rPr>
                <w:rFonts w:hint="eastAsia"/>
              </w:rPr>
              <w:t>（3）Android：Java语言，rxJava，rxAndroid，retrofit网络框架。</w:t>
            </w:r>
          </w:p>
          <w:p w14:paraId="7C91596D">
            <w:r>
              <w:rPr>
                <w:rFonts w:hint="eastAsia"/>
              </w:rPr>
              <w:t>5、数据存储技术：Mysql关系型数据库持久化存储；Redis缓存数据库数据缓存；OSS分布</w:t>
            </w:r>
          </w:p>
          <w:p w14:paraId="161EE88F">
            <w:r>
              <w:rPr>
                <w:rFonts w:hint="eastAsia"/>
              </w:rPr>
              <w:t>式对象存储服务；</w:t>
            </w:r>
          </w:p>
          <w:p w14:paraId="67210B8B">
            <w:r>
              <w:rPr>
                <w:rFonts w:hint="eastAsia"/>
              </w:rPr>
              <w:t>6、全站加速CDN模式技术；</w:t>
            </w:r>
          </w:p>
          <w:p w14:paraId="0E2173E4">
            <w:r>
              <w:rPr>
                <w:rFonts w:hint="eastAsia"/>
              </w:rPr>
              <w:t>7、系统平台接入遵守统一技术规范：统一用户管理、统一信息发布、统一公文交换、统一数据交换等接口规范；</w:t>
            </w:r>
          </w:p>
          <w:p w14:paraId="207839B8">
            <w:r>
              <w:rPr>
                <w:rFonts w:hint="eastAsia"/>
              </w:rPr>
              <w:t>8、可操作性和易用性：软件使用简单、操作方便，具有良好的操作界面；</w:t>
            </w:r>
          </w:p>
          <w:p w14:paraId="601AF67F">
            <w:r>
              <w:rPr>
                <w:rFonts w:hint="eastAsia"/>
              </w:rPr>
              <w:t>9、提供可扩展业务及数据接口。</w:t>
            </w:r>
          </w:p>
          <w:p w14:paraId="2FA8A9BA">
            <w:pPr>
              <w:rPr>
                <w:b/>
                <w:bCs/>
              </w:rPr>
            </w:pPr>
            <w:r>
              <w:rPr>
                <w:rFonts w:hint="eastAsia"/>
                <w:b/>
                <w:bCs/>
              </w:rPr>
              <w:t>三、医学技术输出能力要求</w:t>
            </w:r>
          </w:p>
          <w:p w14:paraId="563DE3C1">
            <w:r>
              <w:rPr>
                <w:rFonts w:hint="eastAsia"/>
              </w:rPr>
              <w:t>▲1、有专业老年医学背景或从事老年医学专业技术研究，能支撑系统中医学评估模型、评估内容及评估量表的持续迭代、升级。 （提供证明有医学背景的证书或授牌复印件加盖供应商公章予以证明）</w:t>
            </w:r>
          </w:p>
          <w:p w14:paraId="3ACAF694">
            <w:r>
              <w:rPr>
                <w:rFonts w:hint="eastAsia"/>
              </w:rPr>
              <w:t>▲2、有能力根据采购人需求，配置医学量表和医学模型。 （提供证明有医学背景的证书或授牌复印件加盖供应商公章予以证明）</w:t>
            </w:r>
          </w:p>
          <w:p w14:paraId="375C2F88">
            <w:r>
              <w:rPr>
                <w:rFonts w:hint="eastAsia"/>
              </w:rPr>
              <w:t>▲3、有老年医学科研项目经历，可支撑、协助开展老年综合评估相关科研项目。（提供证明有医学背景的证书或授牌复印件加盖供应商公章予以证明）</w:t>
            </w:r>
          </w:p>
        </w:tc>
      </w:tr>
      <w:tr w14:paraId="4955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51" w:type="dxa"/>
            <w:vAlign w:val="center"/>
          </w:tcPr>
          <w:p w14:paraId="26DD3423">
            <w:pPr>
              <w:jc w:val="center"/>
              <w:rPr>
                <w:rFonts w:ascii="宋体" w:hAnsi="宋体" w:cs="宋体"/>
                <w:kern w:val="0"/>
                <w:szCs w:val="21"/>
              </w:rPr>
            </w:pPr>
            <w:r>
              <w:rPr>
                <w:rFonts w:hint="eastAsia" w:ascii="宋体" w:hAnsi="宋体" w:cs="宋体"/>
                <w:kern w:val="0"/>
                <w:szCs w:val="21"/>
              </w:rPr>
              <w:t>商务需求</w:t>
            </w:r>
          </w:p>
        </w:tc>
        <w:tc>
          <w:tcPr>
            <w:tcW w:w="9141" w:type="dxa"/>
            <w:gridSpan w:val="4"/>
          </w:tcPr>
          <w:p w14:paraId="63DB60E6">
            <w:pPr>
              <w:spacing w:line="360" w:lineRule="auto"/>
              <w:rPr>
                <w:rFonts w:ascii="宋体" w:hAnsi="宋体"/>
                <w:szCs w:val="21"/>
              </w:rPr>
            </w:pPr>
            <w:r>
              <w:rPr>
                <w:rFonts w:hint="eastAsia" w:ascii="宋体" w:hAnsi="宋体"/>
                <w:b/>
                <w:bCs/>
                <w:szCs w:val="21"/>
              </w:rPr>
              <w:t>四、服务要求：</w:t>
            </w:r>
          </w:p>
          <w:p w14:paraId="225F34CA">
            <w:pPr>
              <w:spacing w:line="360" w:lineRule="auto"/>
              <w:rPr>
                <w:rFonts w:ascii="宋体" w:hAnsi="宋体"/>
                <w:szCs w:val="21"/>
              </w:rPr>
            </w:pPr>
            <w:r>
              <w:rPr>
                <w:rFonts w:hint="eastAsia" w:ascii="宋体" w:hAnsi="宋体"/>
                <w:szCs w:val="21"/>
              </w:rPr>
              <w:t>1.供应商提供操作人员培训服务。</w:t>
            </w:r>
          </w:p>
          <w:p w14:paraId="61F5D7D8">
            <w:pPr>
              <w:spacing w:line="360" w:lineRule="auto"/>
              <w:ind w:firstLine="420" w:firstLineChars="200"/>
              <w:rPr>
                <w:rFonts w:ascii="宋体" w:hAnsi="宋体"/>
                <w:szCs w:val="21"/>
              </w:rPr>
            </w:pPr>
            <w:r>
              <w:rPr>
                <w:rFonts w:hint="eastAsia" w:ascii="宋体" w:hAnsi="宋体"/>
                <w:szCs w:val="21"/>
              </w:rPr>
              <w:t>培训时间：不低于2小时。</w:t>
            </w:r>
          </w:p>
          <w:p w14:paraId="4767BB7A">
            <w:pPr>
              <w:spacing w:line="360" w:lineRule="auto"/>
              <w:ind w:firstLine="420" w:firstLineChars="200"/>
              <w:rPr>
                <w:rFonts w:ascii="宋体" w:hAnsi="宋体"/>
                <w:szCs w:val="21"/>
              </w:rPr>
            </w:pPr>
            <w:r>
              <w:rPr>
                <w:rFonts w:hint="eastAsia" w:ascii="宋体" w:hAnsi="宋体"/>
                <w:szCs w:val="21"/>
              </w:rPr>
              <w:t>培训人数：不少于20 人次。</w:t>
            </w:r>
          </w:p>
          <w:p w14:paraId="3C6B25E2">
            <w:pPr>
              <w:spacing w:line="360" w:lineRule="auto"/>
              <w:ind w:firstLine="420" w:firstLineChars="200"/>
              <w:rPr>
                <w:rFonts w:ascii="宋体" w:hAnsi="宋体"/>
                <w:szCs w:val="21"/>
              </w:rPr>
            </w:pPr>
            <w:r>
              <w:rPr>
                <w:rFonts w:hint="eastAsia" w:ascii="宋体" w:hAnsi="宋体"/>
                <w:szCs w:val="21"/>
              </w:rPr>
              <w:t>培训内容：软件的基本使用及操作。</w:t>
            </w:r>
          </w:p>
          <w:p w14:paraId="7EB9637F">
            <w:pPr>
              <w:spacing w:line="360" w:lineRule="auto"/>
              <w:rPr>
                <w:rFonts w:ascii="宋体" w:hAnsi="宋体"/>
                <w:szCs w:val="21"/>
              </w:rPr>
            </w:pPr>
            <w:r>
              <w:rPr>
                <w:rFonts w:hint="eastAsia" w:ascii="宋体" w:hAnsi="宋体"/>
                <w:szCs w:val="21"/>
              </w:rPr>
              <w:t>2.供应商对软件提供维护服务和技术支持，期限为自通过验收之日起1年。在免费维护期内，如果供应商对合同软件在功能、运行维护等方面进行了技术改进，供应商应积极向甲方推广，并免费向甲方提供与上述技术改进有关的详细技术资料。</w:t>
            </w:r>
          </w:p>
          <w:p w14:paraId="6D40A0DA">
            <w:pPr>
              <w:spacing w:line="360" w:lineRule="auto"/>
              <w:rPr>
                <w:rFonts w:ascii="宋体" w:hAnsi="宋体"/>
                <w:szCs w:val="21"/>
              </w:rPr>
            </w:pPr>
            <w:r>
              <w:rPr>
                <w:rFonts w:hint="eastAsia" w:ascii="宋体" w:hAnsi="宋体"/>
                <w:szCs w:val="21"/>
              </w:rPr>
              <w:t>3.供应商提供的维护服务和技术支持系保证软件正常运行的维护项目，包括：</w:t>
            </w:r>
          </w:p>
          <w:p w14:paraId="728F22EE">
            <w:pPr>
              <w:spacing w:line="360" w:lineRule="auto"/>
              <w:ind w:firstLine="420" w:firstLineChars="200"/>
              <w:rPr>
                <w:rFonts w:ascii="宋体" w:hAnsi="宋体"/>
                <w:szCs w:val="21"/>
              </w:rPr>
            </w:pPr>
            <w:r>
              <w:rPr>
                <w:rFonts w:hint="eastAsia" w:ascii="宋体" w:hAnsi="宋体"/>
                <w:szCs w:val="21"/>
              </w:rPr>
              <w:t>(1)软件在运行中的故障带来的排错工作。</w:t>
            </w:r>
          </w:p>
          <w:p w14:paraId="7255A5FD">
            <w:pPr>
              <w:spacing w:line="360" w:lineRule="auto"/>
              <w:ind w:firstLine="420" w:firstLineChars="200"/>
              <w:rPr>
                <w:rFonts w:ascii="宋体" w:hAnsi="宋体"/>
                <w:szCs w:val="21"/>
              </w:rPr>
            </w:pPr>
            <w:r>
              <w:rPr>
                <w:rFonts w:hint="eastAsia" w:ascii="宋体" w:hAnsi="宋体"/>
                <w:szCs w:val="21"/>
              </w:rPr>
              <w:t>(2)甲方非正常操作带来的软件及数据的修复工作（不涉及</w:t>
            </w:r>
            <w:bookmarkStart w:id="0" w:name="_GoBack"/>
            <w:bookmarkEnd w:id="0"/>
            <w:r>
              <w:rPr>
                <w:rFonts w:hint="eastAsia" w:ascii="宋体" w:hAnsi="宋体"/>
                <w:szCs w:val="21"/>
              </w:rPr>
              <w:t>软件底层库结构的修复）。</w:t>
            </w:r>
          </w:p>
          <w:p w14:paraId="37E12330">
            <w:pPr>
              <w:pStyle w:val="2"/>
            </w:pPr>
            <w:r>
              <w:rPr>
                <w:rFonts w:hint="eastAsia" w:ascii="宋体" w:hAnsi="宋体"/>
                <w:szCs w:val="21"/>
              </w:rPr>
              <w:t>4.</w:t>
            </w:r>
            <w:r>
              <w:rPr>
                <w:rFonts w:hint="eastAsia" w:ascii="宋体" w:hAnsi="宋体" w:cs="宋体"/>
                <w:szCs w:val="21"/>
              </w:rPr>
              <w:t>数据互联互通:与现有医院信息系统实现数据对接</w:t>
            </w:r>
            <w:r>
              <w:rPr>
                <w:rFonts w:hint="eastAsia" w:ascii="宋体" w:hAnsi="宋体"/>
                <w:szCs w:val="21"/>
              </w:rPr>
              <w:t>。</w:t>
            </w:r>
          </w:p>
          <w:p w14:paraId="468B4D77">
            <w:pPr>
              <w:spacing w:line="360" w:lineRule="auto"/>
              <w:rPr>
                <w:rFonts w:ascii="宋体" w:hAnsi="宋体"/>
                <w:b/>
                <w:bCs/>
                <w:szCs w:val="21"/>
              </w:rPr>
            </w:pPr>
            <w:r>
              <w:rPr>
                <w:rFonts w:hint="eastAsia" w:ascii="宋体" w:hAnsi="宋体"/>
                <w:b/>
                <w:bCs/>
                <w:szCs w:val="21"/>
              </w:rPr>
              <w:t>五、实施要求：</w:t>
            </w:r>
          </w:p>
          <w:p w14:paraId="1F11DA78">
            <w:pPr>
              <w:spacing w:line="360" w:lineRule="auto"/>
              <w:rPr>
                <w:rFonts w:ascii="宋体" w:hAnsi="宋体"/>
                <w:szCs w:val="21"/>
              </w:rPr>
            </w:pPr>
            <w:r>
              <w:rPr>
                <w:rFonts w:hint="eastAsia" w:ascii="宋体" w:hAnsi="宋体"/>
                <w:szCs w:val="21"/>
              </w:rPr>
              <w:t>1.软件的安装：指软件的安装、调试及参数设置。</w:t>
            </w:r>
          </w:p>
          <w:p w14:paraId="12521A27">
            <w:pPr>
              <w:spacing w:line="360" w:lineRule="auto"/>
              <w:rPr>
                <w:rFonts w:ascii="宋体" w:hAnsi="宋体"/>
                <w:szCs w:val="21"/>
              </w:rPr>
            </w:pPr>
            <w:r>
              <w:rPr>
                <w:rFonts w:hint="eastAsia" w:ascii="宋体" w:hAnsi="宋体"/>
                <w:szCs w:val="21"/>
              </w:rPr>
              <w:t>2.系统的安装由成交供应商应根据合同约定及采购文件、响应文件中技术商务需求参数的标准、方法和程序进行。成交供应商应对合同软件的调试和性能及合同约定的质量、安全和各项保证值负全部责任。</w:t>
            </w:r>
          </w:p>
          <w:p w14:paraId="5F92DB86">
            <w:pPr>
              <w:spacing w:line="360" w:lineRule="auto"/>
              <w:rPr>
                <w:rFonts w:ascii="宋体" w:hAnsi="宋体"/>
                <w:szCs w:val="21"/>
              </w:rPr>
            </w:pPr>
            <w:r>
              <w:rPr>
                <w:rFonts w:hint="eastAsia" w:ascii="宋体" w:hAnsi="宋体"/>
                <w:szCs w:val="21"/>
              </w:rPr>
              <w:t>3.系统设置：包括软件项目、基础数据的设置（指导）工作。</w:t>
            </w:r>
          </w:p>
          <w:p w14:paraId="29BC1802">
            <w:pPr>
              <w:spacing w:line="360" w:lineRule="auto"/>
              <w:rPr>
                <w:rFonts w:ascii="宋体" w:hAnsi="宋体"/>
                <w:b/>
                <w:bCs/>
                <w:szCs w:val="21"/>
              </w:rPr>
            </w:pPr>
            <w:r>
              <w:rPr>
                <w:rFonts w:hint="eastAsia" w:ascii="宋体" w:hAnsi="宋体"/>
                <w:b/>
                <w:bCs/>
                <w:szCs w:val="21"/>
              </w:rPr>
              <w:t>六、按照验收要求：</w:t>
            </w:r>
          </w:p>
          <w:p w14:paraId="5E4D038A">
            <w:pPr>
              <w:spacing w:line="360" w:lineRule="auto"/>
              <w:rPr>
                <w:rFonts w:ascii="宋体" w:hAnsi="宋体"/>
                <w:szCs w:val="21"/>
              </w:rPr>
            </w:pPr>
            <w:r>
              <w:rPr>
                <w:rFonts w:hint="eastAsia" w:ascii="宋体" w:hAnsi="宋体"/>
                <w:szCs w:val="21"/>
              </w:rPr>
              <w:t>1.供应商应负责协调、配合系统设备及相关软硬件的安装调测工作，并解决发现的质量及性能等有关问题。合同软件测试和验收应符合成交供应商作出的质量承诺，并满足合同约定的软件功能。</w:t>
            </w:r>
          </w:p>
          <w:p w14:paraId="2537F2F9">
            <w:pPr>
              <w:spacing w:line="360" w:lineRule="auto"/>
              <w:rPr>
                <w:rFonts w:ascii="宋体" w:hAnsi="宋体"/>
                <w:szCs w:val="21"/>
              </w:rPr>
            </w:pPr>
            <w:r>
              <w:rPr>
                <w:rFonts w:hint="eastAsia" w:ascii="宋体" w:hAnsi="宋体"/>
                <w:szCs w:val="21"/>
              </w:rPr>
              <w:t>2.软件正式上线运行15个工作日内，进行验收工作，由双方或双方项目负责人签署验收报告。</w:t>
            </w:r>
          </w:p>
          <w:p w14:paraId="1C67C7CA">
            <w:pPr>
              <w:spacing w:line="360" w:lineRule="auto"/>
              <w:rPr>
                <w:rFonts w:ascii="宋体" w:hAnsi="宋体"/>
                <w:szCs w:val="21"/>
              </w:rPr>
            </w:pPr>
            <w:r>
              <w:rPr>
                <w:rFonts w:hint="eastAsia" w:ascii="宋体" w:hAnsi="宋体"/>
                <w:szCs w:val="21"/>
              </w:rPr>
              <w:t>3.供应商应负责在项目验收时将软件使用文档（《操作手册》）及验收报告等文档交付。</w:t>
            </w:r>
          </w:p>
          <w:p w14:paraId="59590B1F">
            <w:pPr>
              <w:spacing w:line="360" w:lineRule="auto"/>
              <w:rPr>
                <w:rFonts w:ascii="宋体" w:hAnsi="宋体"/>
                <w:b/>
                <w:bCs/>
                <w:szCs w:val="21"/>
              </w:rPr>
            </w:pPr>
            <w:r>
              <w:rPr>
                <w:rFonts w:hint="eastAsia" w:ascii="宋体" w:hAnsi="宋体"/>
                <w:b/>
                <w:bCs/>
                <w:szCs w:val="21"/>
              </w:rPr>
              <w:t>七、供货要求：</w:t>
            </w:r>
          </w:p>
          <w:p w14:paraId="1AF6CBF6">
            <w:pPr>
              <w:ind w:firstLine="420" w:firstLineChars="200"/>
              <w:rPr>
                <w:rFonts w:ascii="宋体" w:hAnsi="宋体"/>
                <w:szCs w:val="21"/>
              </w:rPr>
            </w:pPr>
            <w:r>
              <w:rPr>
                <w:rFonts w:hint="eastAsia" w:ascii="宋体" w:hAnsi="宋体"/>
                <w:szCs w:val="21"/>
              </w:rPr>
              <w:t>供货期：合同签订生效后30个日历日内完成安装、调试、人员培训并投入使用。</w:t>
            </w:r>
          </w:p>
          <w:p w14:paraId="71415BC3">
            <w:pPr>
              <w:rPr>
                <w:rFonts w:ascii="宋体" w:hAnsi="宋体"/>
                <w:b/>
                <w:bCs/>
                <w:szCs w:val="21"/>
              </w:rPr>
            </w:pPr>
            <w:r>
              <w:rPr>
                <w:rFonts w:hint="eastAsia" w:ascii="宋体" w:hAnsi="宋体"/>
                <w:b/>
                <w:bCs/>
                <w:szCs w:val="21"/>
              </w:rPr>
              <w:t>八、付款方式：</w:t>
            </w:r>
          </w:p>
          <w:p w14:paraId="3EFB67D5">
            <w:pPr>
              <w:ind w:firstLine="420" w:firstLineChars="200"/>
              <w:rPr>
                <w:rFonts w:ascii="宋体" w:hAnsi="宋体"/>
                <w:szCs w:val="21"/>
              </w:rPr>
            </w:pPr>
            <w:r>
              <w:rPr>
                <w:rFonts w:hint="eastAsia" w:asciiTheme="minorEastAsia" w:hAnsiTheme="minorEastAsia" w:eastAsiaTheme="minorEastAsia"/>
                <w:szCs w:val="21"/>
              </w:rPr>
              <w:t>签订合同后，乙方须向甲方支付合同含税总金额的10%（作为履约保证金转入医院指定账户并提供转账凭证；乙方向甲方提供履约保证金转账凭证后，甲方向乙方支付合同含税总金额的30%；验收合格之后,乙方提供相应增值税发票，甲方付款合同总金额的70%；履约保证金在软件验收通过并正常使用一年之后无息返还。</w:t>
            </w:r>
          </w:p>
        </w:tc>
      </w:tr>
    </w:tbl>
    <w:p w14:paraId="2883A0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1AF064B1"/>
    <w:rsid w:val="000525D1"/>
    <w:rsid w:val="000E545B"/>
    <w:rsid w:val="002C02FF"/>
    <w:rsid w:val="002F61F7"/>
    <w:rsid w:val="003056BE"/>
    <w:rsid w:val="004628F4"/>
    <w:rsid w:val="00651D5F"/>
    <w:rsid w:val="006E74EB"/>
    <w:rsid w:val="0074767C"/>
    <w:rsid w:val="007E67DD"/>
    <w:rsid w:val="008E43E9"/>
    <w:rsid w:val="00944F6A"/>
    <w:rsid w:val="00986EA2"/>
    <w:rsid w:val="00B30DEA"/>
    <w:rsid w:val="00C211A8"/>
    <w:rsid w:val="00E301F5"/>
    <w:rsid w:val="00EC3361"/>
    <w:rsid w:val="00F404C4"/>
    <w:rsid w:val="016F283F"/>
    <w:rsid w:val="0589528D"/>
    <w:rsid w:val="060E0A34"/>
    <w:rsid w:val="07285C95"/>
    <w:rsid w:val="07C70382"/>
    <w:rsid w:val="08E458C1"/>
    <w:rsid w:val="09C3197A"/>
    <w:rsid w:val="0BC1013B"/>
    <w:rsid w:val="0BD01431"/>
    <w:rsid w:val="0C917B0E"/>
    <w:rsid w:val="0CA27F6D"/>
    <w:rsid w:val="0F0E3698"/>
    <w:rsid w:val="11C10E95"/>
    <w:rsid w:val="12266F4A"/>
    <w:rsid w:val="13637D2A"/>
    <w:rsid w:val="13A26AA4"/>
    <w:rsid w:val="161C2B3E"/>
    <w:rsid w:val="16B91983"/>
    <w:rsid w:val="17304BFB"/>
    <w:rsid w:val="174946CF"/>
    <w:rsid w:val="1AF064B1"/>
    <w:rsid w:val="1B544B28"/>
    <w:rsid w:val="1BA50EE0"/>
    <w:rsid w:val="1C9A47BD"/>
    <w:rsid w:val="1F4E188E"/>
    <w:rsid w:val="1F501AAA"/>
    <w:rsid w:val="20F621DE"/>
    <w:rsid w:val="21032291"/>
    <w:rsid w:val="218D2B42"/>
    <w:rsid w:val="222A451A"/>
    <w:rsid w:val="22F95FB5"/>
    <w:rsid w:val="236773C3"/>
    <w:rsid w:val="23D43CA0"/>
    <w:rsid w:val="244B2840"/>
    <w:rsid w:val="24AF72B6"/>
    <w:rsid w:val="25CC6450"/>
    <w:rsid w:val="26C568DA"/>
    <w:rsid w:val="275639D6"/>
    <w:rsid w:val="27AA0C28"/>
    <w:rsid w:val="28AC5FA3"/>
    <w:rsid w:val="2A225DF1"/>
    <w:rsid w:val="2A584228"/>
    <w:rsid w:val="2AC11AAE"/>
    <w:rsid w:val="2BE617CC"/>
    <w:rsid w:val="2C2D331F"/>
    <w:rsid w:val="2C7D4415"/>
    <w:rsid w:val="2E2F6D2F"/>
    <w:rsid w:val="30A6777C"/>
    <w:rsid w:val="31813D45"/>
    <w:rsid w:val="31D832D4"/>
    <w:rsid w:val="32747406"/>
    <w:rsid w:val="3293788C"/>
    <w:rsid w:val="32B51EF8"/>
    <w:rsid w:val="345B6AD0"/>
    <w:rsid w:val="35260E8C"/>
    <w:rsid w:val="36C02C1A"/>
    <w:rsid w:val="373361E1"/>
    <w:rsid w:val="3B223EA3"/>
    <w:rsid w:val="3B460255"/>
    <w:rsid w:val="3B5A363D"/>
    <w:rsid w:val="3D0A1093"/>
    <w:rsid w:val="3DDF42CD"/>
    <w:rsid w:val="3EC82FB3"/>
    <w:rsid w:val="401F09B1"/>
    <w:rsid w:val="40575DF1"/>
    <w:rsid w:val="41DF2AEE"/>
    <w:rsid w:val="426E347C"/>
    <w:rsid w:val="43106CD7"/>
    <w:rsid w:val="433F53E1"/>
    <w:rsid w:val="44FF7003"/>
    <w:rsid w:val="469D4D26"/>
    <w:rsid w:val="46C95B1B"/>
    <w:rsid w:val="47543636"/>
    <w:rsid w:val="47B71E17"/>
    <w:rsid w:val="47E86474"/>
    <w:rsid w:val="487B2E45"/>
    <w:rsid w:val="4B157580"/>
    <w:rsid w:val="4C0D64AA"/>
    <w:rsid w:val="4D3006A2"/>
    <w:rsid w:val="4DC332C4"/>
    <w:rsid w:val="4F3501F1"/>
    <w:rsid w:val="4F495A4B"/>
    <w:rsid w:val="503264DF"/>
    <w:rsid w:val="5080153E"/>
    <w:rsid w:val="509D1B64"/>
    <w:rsid w:val="55805F3E"/>
    <w:rsid w:val="55D63DB0"/>
    <w:rsid w:val="57FA1FD8"/>
    <w:rsid w:val="58496ABB"/>
    <w:rsid w:val="587B479B"/>
    <w:rsid w:val="597D4C6F"/>
    <w:rsid w:val="5ACC12DE"/>
    <w:rsid w:val="5BDB5C7C"/>
    <w:rsid w:val="5C78796F"/>
    <w:rsid w:val="5D240C8F"/>
    <w:rsid w:val="5D7739E0"/>
    <w:rsid w:val="5D832F76"/>
    <w:rsid w:val="5FA32F55"/>
    <w:rsid w:val="60D12B1E"/>
    <w:rsid w:val="61447E20"/>
    <w:rsid w:val="61FB0E26"/>
    <w:rsid w:val="63BF5E84"/>
    <w:rsid w:val="64C37BF6"/>
    <w:rsid w:val="66723681"/>
    <w:rsid w:val="66EF6A80"/>
    <w:rsid w:val="677859F3"/>
    <w:rsid w:val="688B27D8"/>
    <w:rsid w:val="68EA5751"/>
    <w:rsid w:val="69117181"/>
    <w:rsid w:val="6954706E"/>
    <w:rsid w:val="69B47B0D"/>
    <w:rsid w:val="6B6F63E1"/>
    <w:rsid w:val="6D25144D"/>
    <w:rsid w:val="6D7221B9"/>
    <w:rsid w:val="700A492A"/>
    <w:rsid w:val="735055B0"/>
    <w:rsid w:val="738A025C"/>
    <w:rsid w:val="73BA4032"/>
    <w:rsid w:val="741C4C2C"/>
    <w:rsid w:val="74341F76"/>
    <w:rsid w:val="76D0242A"/>
    <w:rsid w:val="7757023A"/>
    <w:rsid w:val="77A3710E"/>
    <w:rsid w:val="78160310"/>
    <w:rsid w:val="78202F3D"/>
    <w:rsid w:val="7840538D"/>
    <w:rsid w:val="78E33F6B"/>
    <w:rsid w:val="7AEA7832"/>
    <w:rsid w:val="7C09354D"/>
    <w:rsid w:val="7D341239"/>
    <w:rsid w:val="7D4C327E"/>
    <w:rsid w:val="7EA321D2"/>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line="578" w:lineRule="auto"/>
      <w:jc w:val="center"/>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Body Text First Indent"/>
    <w:basedOn w:val="2"/>
    <w:next w:val="4"/>
    <w:unhideWhenUsed/>
    <w:qFormat/>
    <w:uiPriority w:val="99"/>
    <w:pPr>
      <w:ind w:firstLine="420" w:firstLineChars="100"/>
    </w:p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6">
    <w:name w:val="annotation text"/>
    <w:basedOn w:val="1"/>
    <w:link w:val="23"/>
    <w:qFormat/>
    <w:uiPriority w:val="99"/>
    <w:pPr>
      <w:jc w:val="left"/>
    </w:pPr>
  </w:style>
  <w:style w:type="paragraph" w:styleId="7">
    <w:name w:val="Balloon Text"/>
    <w:basedOn w:val="1"/>
    <w:link w:val="20"/>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character" w:styleId="14">
    <w:name w:val="FollowedHyperlink"/>
    <w:basedOn w:val="13"/>
    <w:qFormat/>
    <w:uiPriority w:val="0"/>
    <w:rPr>
      <w:color w:val="800080"/>
      <w:u w:val="none"/>
    </w:rPr>
  </w:style>
  <w:style w:type="character" w:styleId="15">
    <w:name w:val="Hyperlink"/>
    <w:basedOn w:val="13"/>
    <w:qFormat/>
    <w:uiPriority w:val="0"/>
    <w:rPr>
      <w:color w:val="0000FF"/>
      <w:u w:val="none"/>
    </w:rPr>
  </w:style>
  <w:style w:type="character" w:styleId="16">
    <w:name w:val="annotation reference"/>
    <w:basedOn w:val="13"/>
    <w:qFormat/>
    <w:uiPriority w:val="99"/>
    <w:rPr>
      <w:sz w:val="21"/>
      <w:szCs w:val="21"/>
    </w:rPr>
  </w:style>
  <w:style w:type="character" w:customStyle="1" w:styleId="17">
    <w:name w:val="标题 1 Char"/>
    <w:basedOn w:val="13"/>
    <w:link w:val="5"/>
    <w:qFormat/>
    <w:uiPriority w:val="0"/>
    <w:rPr>
      <w:rFonts w:ascii="Times New Roman" w:hAnsi="Times New Roman" w:eastAsia="宋体"/>
      <w:b/>
      <w:bCs/>
      <w:kern w:val="44"/>
      <w:sz w:val="44"/>
      <w:szCs w:val="44"/>
    </w:rPr>
  </w:style>
  <w:style w:type="character" w:customStyle="1" w:styleId="18">
    <w:name w:val="layui-this"/>
    <w:basedOn w:val="13"/>
    <w:qFormat/>
    <w:uiPriority w:val="0"/>
    <w:rPr>
      <w:bdr w:val="single" w:color="EEEEEE" w:sz="6" w:space="0"/>
      <w:shd w:val="clear" w:color="auto" w:fill="FFFFFF"/>
    </w:rPr>
  </w:style>
  <w:style w:type="character" w:customStyle="1" w:styleId="19">
    <w:name w:val="first-child"/>
    <w:basedOn w:val="13"/>
    <w:qFormat/>
    <w:uiPriority w:val="0"/>
  </w:style>
  <w:style w:type="character" w:customStyle="1" w:styleId="20">
    <w:name w:val="批注框文本 Char"/>
    <w:basedOn w:val="13"/>
    <w:link w:val="7"/>
    <w:qFormat/>
    <w:uiPriority w:val="0"/>
    <w:rPr>
      <w:kern w:val="2"/>
      <w:sz w:val="18"/>
      <w:szCs w:val="18"/>
    </w:rPr>
  </w:style>
  <w:style w:type="character" w:customStyle="1" w:styleId="21">
    <w:name w:val="页眉 Char"/>
    <w:basedOn w:val="13"/>
    <w:link w:val="9"/>
    <w:qFormat/>
    <w:uiPriority w:val="0"/>
    <w:rPr>
      <w:kern w:val="2"/>
      <w:sz w:val="18"/>
      <w:szCs w:val="18"/>
    </w:rPr>
  </w:style>
  <w:style w:type="character" w:customStyle="1" w:styleId="22">
    <w:name w:val="页脚 Char"/>
    <w:basedOn w:val="13"/>
    <w:link w:val="8"/>
    <w:qFormat/>
    <w:uiPriority w:val="0"/>
    <w:rPr>
      <w:kern w:val="2"/>
      <w:sz w:val="18"/>
      <w:szCs w:val="18"/>
    </w:rPr>
  </w:style>
  <w:style w:type="character" w:customStyle="1" w:styleId="23">
    <w:name w:val="批注文字 Char"/>
    <w:basedOn w:val="13"/>
    <w:link w:val="6"/>
    <w:qFormat/>
    <w:uiPriority w:val="99"/>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2478</Words>
  <Characters>2685</Characters>
  <Lines>19</Lines>
  <Paragraphs>5</Paragraphs>
  <TotalTime>84</TotalTime>
  <ScaleCrop>false</ScaleCrop>
  <LinksUpToDate>false</LinksUpToDate>
  <CharactersWithSpaces>2694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2020-06-17T02:37:00Z</dcterms:created>
  <dc:creator>LXQ</dc:creator>
  <cp:lastModifiedBy>小陈</cp:lastModifiedBy>
  <dcterms:modified xsi:type="dcterms:W3CDTF">2024-11-07T09:10:12Z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2A3274C498774681AD9A423F85D3352D_13</vt:lpwstr>
  </property>
</Properties>
</file>