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9AC144">
      <w:pPr>
        <w:pStyle w:val="10"/>
      </w:pPr>
      <w:r>
        <w:rPr>
          <w:rFonts w:hint="eastAsia"/>
        </w:rPr>
        <w:t>服务类项目需求模板</w:t>
      </w:r>
    </w:p>
    <w:tbl>
      <w:tblPr>
        <w:tblStyle w:val="11"/>
        <w:tblW w:w="9716"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1"/>
        <w:gridCol w:w="1592"/>
        <w:gridCol w:w="3228"/>
        <w:gridCol w:w="1595"/>
        <w:gridCol w:w="2850"/>
      </w:tblGrid>
      <w:tr w14:paraId="0FC86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043" w:type="dxa"/>
            <w:gridSpan w:val="2"/>
          </w:tcPr>
          <w:p w14:paraId="70651B7A">
            <w:r>
              <w:rPr>
                <w:rFonts w:hint="eastAsia"/>
              </w:rPr>
              <w:t>项目名称</w:t>
            </w:r>
          </w:p>
        </w:tc>
        <w:tc>
          <w:tcPr>
            <w:tcW w:w="3228" w:type="dxa"/>
          </w:tcPr>
          <w:p w14:paraId="15BFAA24">
            <w:r>
              <w:rPr>
                <w:rFonts w:hint="eastAsia"/>
                <w:bCs/>
                <w:szCs w:val="21"/>
              </w:rPr>
              <w:t>耳鼻咽喉头颈外科信息系统</w:t>
            </w:r>
          </w:p>
        </w:tc>
        <w:tc>
          <w:tcPr>
            <w:tcW w:w="1595" w:type="dxa"/>
          </w:tcPr>
          <w:p w14:paraId="66BFF09F">
            <w:r>
              <w:t>采购类型</w:t>
            </w:r>
          </w:p>
        </w:tc>
        <w:tc>
          <w:tcPr>
            <w:tcW w:w="2850" w:type="dxa"/>
          </w:tcPr>
          <w:p w14:paraId="78A2A4B7">
            <w:r>
              <w:rPr>
                <w:rFonts w:hint="eastAsia"/>
              </w:rPr>
              <w:t>服务类</w:t>
            </w:r>
          </w:p>
        </w:tc>
      </w:tr>
      <w:tr w14:paraId="1641D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2043" w:type="dxa"/>
            <w:gridSpan w:val="2"/>
          </w:tcPr>
          <w:p w14:paraId="0FEDE56F">
            <w:r>
              <w:rPr>
                <w:rFonts w:hint="eastAsia"/>
              </w:rPr>
              <w:t>采购人名称</w:t>
            </w:r>
          </w:p>
        </w:tc>
        <w:tc>
          <w:tcPr>
            <w:tcW w:w="3228" w:type="dxa"/>
          </w:tcPr>
          <w:p w14:paraId="0FB78867">
            <w:r>
              <w:rPr>
                <w:rFonts w:hint="eastAsia"/>
              </w:rPr>
              <w:t>深圳市</w:t>
            </w:r>
            <w:r>
              <w:t>第三人民医院</w:t>
            </w:r>
          </w:p>
        </w:tc>
        <w:tc>
          <w:tcPr>
            <w:tcW w:w="1595" w:type="dxa"/>
          </w:tcPr>
          <w:p w14:paraId="6844CAF5">
            <w:r>
              <w:t>采购方式</w:t>
            </w:r>
          </w:p>
        </w:tc>
        <w:tc>
          <w:tcPr>
            <w:tcW w:w="2850" w:type="dxa"/>
          </w:tcPr>
          <w:p w14:paraId="0A560E39">
            <w:r>
              <w:rPr>
                <w:rFonts w:hint="eastAsia"/>
              </w:rPr>
              <w:t>公开招标</w:t>
            </w:r>
          </w:p>
        </w:tc>
      </w:tr>
      <w:tr w14:paraId="0ECFF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2043" w:type="dxa"/>
            <w:gridSpan w:val="2"/>
          </w:tcPr>
          <w:p w14:paraId="35124391">
            <w:r>
              <w:rPr>
                <w:rFonts w:hint="eastAsia"/>
              </w:rPr>
              <w:t>预算限额（元）</w:t>
            </w:r>
          </w:p>
        </w:tc>
        <w:tc>
          <w:tcPr>
            <w:tcW w:w="7673" w:type="dxa"/>
            <w:gridSpan w:val="3"/>
          </w:tcPr>
          <w:p w14:paraId="5551DFD9">
            <w:r>
              <w:rPr>
                <w:rFonts w:hint="eastAsia"/>
              </w:rPr>
              <w:t>540000.00</w:t>
            </w:r>
          </w:p>
        </w:tc>
      </w:tr>
      <w:tr w14:paraId="02BB3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2043" w:type="dxa"/>
            <w:gridSpan w:val="2"/>
          </w:tcPr>
          <w:p w14:paraId="654BB3E7">
            <w:r>
              <w:rPr>
                <w:rFonts w:hint="eastAsia"/>
              </w:rPr>
              <w:t>项目背景</w:t>
            </w:r>
          </w:p>
        </w:tc>
        <w:tc>
          <w:tcPr>
            <w:tcW w:w="7673" w:type="dxa"/>
            <w:gridSpan w:val="3"/>
          </w:tcPr>
          <w:p w14:paraId="67D71871">
            <w:r>
              <w:rPr>
                <w:rFonts w:hint="eastAsia" w:ascii="宋体" w:hAnsi="宋体"/>
              </w:rPr>
              <w:t>开发与门诊、住院系统数据同步接口，实现患者信息及检查申请项目的同步，检查室医生可以及时查看当前待检查患者列表及项目。检查室完成检查报告打印及上传后，接口程序将患者报告发布至医院HIS系统供医生查阅。</w:t>
            </w:r>
          </w:p>
        </w:tc>
      </w:tr>
      <w:tr w14:paraId="01F34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451" w:type="dxa"/>
            <w:vAlign w:val="center"/>
          </w:tcPr>
          <w:p w14:paraId="444DC564">
            <w:pPr>
              <w:jc w:val="center"/>
            </w:pPr>
            <w:r>
              <w:rPr>
                <w:rFonts w:hint="eastAsia" w:ascii="宋体" w:hAnsi="宋体" w:cs="宋体"/>
                <w:kern w:val="0"/>
                <w:szCs w:val="21"/>
              </w:rPr>
              <w:t>投标人资质要求</w:t>
            </w:r>
          </w:p>
        </w:tc>
        <w:tc>
          <w:tcPr>
            <w:tcW w:w="9265" w:type="dxa"/>
            <w:gridSpan w:val="4"/>
          </w:tcPr>
          <w:p w14:paraId="2619A4BF">
            <w:pPr>
              <w:ind w:firstLine="632" w:firstLineChars="300"/>
              <w:rPr>
                <w:rFonts w:ascii="宋体" w:hAnsi="宋体" w:cs="宋体"/>
                <w:b/>
                <w:color w:val="FF0000"/>
                <w:kern w:val="0"/>
                <w:szCs w:val="21"/>
              </w:rPr>
            </w:pPr>
            <w:r>
              <w:rPr>
                <w:rFonts w:hint="eastAsia" w:ascii="宋体" w:hAnsi="宋体" w:cs="宋体"/>
                <w:b/>
                <w:color w:val="FF0000"/>
                <w:kern w:val="0"/>
                <w:szCs w:val="21"/>
              </w:rPr>
              <w:t>注意：提供明确、具体的资格要求（设置的投标人资格要求必须提交有法律法规依据，且不具备倾向性）</w:t>
            </w:r>
          </w:p>
          <w:p w14:paraId="3E565E95">
            <w:pPr>
              <w:tabs>
                <w:tab w:val="left" w:pos="312"/>
              </w:tabs>
              <w:rPr>
                <w:rFonts w:ascii="宋体" w:hAnsi="宋体"/>
                <w:kern w:val="0"/>
              </w:rPr>
            </w:pPr>
            <w:r>
              <w:rPr>
                <w:rFonts w:hint="eastAsia" w:ascii="宋体" w:hAnsi="宋体"/>
                <w:kern w:val="0"/>
              </w:rPr>
              <w:t>1.具有独立法人资格或是具有独立承担民事责任能力的其它组织（提供营业执照或事业单位法人证书等证明资料扫描件，原件备查）；</w:t>
            </w:r>
          </w:p>
          <w:p w14:paraId="362DABC8">
            <w:pPr>
              <w:rPr>
                <w:rFonts w:ascii="宋体" w:hAnsi="宋体"/>
                <w:kern w:val="0"/>
              </w:rPr>
            </w:pPr>
            <w:r>
              <w:rPr>
                <w:rFonts w:hint="eastAsia" w:ascii="宋体" w:hAnsi="宋体"/>
              </w:rPr>
              <w:t>2.投标人若为生产企业，须</w:t>
            </w:r>
            <w:r>
              <w:rPr>
                <w:rFonts w:ascii="宋体" w:hAnsi="宋体"/>
              </w:rPr>
              <w:t>提供</w:t>
            </w:r>
            <w:r>
              <w:rPr>
                <w:rFonts w:hint="eastAsia" w:ascii="宋体" w:hAnsi="宋体"/>
              </w:rPr>
              <w:t>所投产品的计算机软件著作权登记证书扫描件，原件备查；投标人若为经营企业，须</w:t>
            </w:r>
            <w:r>
              <w:rPr>
                <w:rFonts w:ascii="宋体" w:hAnsi="宋体"/>
              </w:rPr>
              <w:t>提供</w:t>
            </w:r>
            <w:r>
              <w:rPr>
                <w:rFonts w:hint="eastAsia" w:ascii="宋体" w:hAnsi="宋体"/>
              </w:rPr>
              <w:t>所投</w:t>
            </w:r>
            <w:r>
              <w:rPr>
                <w:rFonts w:ascii="宋体" w:hAnsi="宋体"/>
              </w:rPr>
              <w:t>产品制造商</w:t>
            </w:r>
            <w:r>
              <w:rPr>
                <w:rFonts w:hint="eastAsia" w:ascii="宋体" w:hAnsi="宋体"/>
              </w:rPr>
              <w:t>出具</w:t>
            </w:r>
            <w:r>
              <w:rPr>
                <w:rFonts w:ascii="宋体" w:hAnsi="宋体"/>
              </w:rPr>
              <w:t>的授权书</w:t>
            </w:r>
            <w:r>
              <w:rPr>
                <w:rFonts w:hint="eastAsia" w:ascii="宋体" w:hAnsi="宋体"/>
              </w:rPr>
              <w:t>，</w:t>
            </w:r>
            <w:r>
              <w:rPr>
                <w:rFonts w:ascii="宋体" w:hAnsi="宋体"/>
              </w:rPr>
              <w:t>以及</w:t>
            </w:r>
            <w:r>
              <w:rPr>
                <w:rFonts w:hint="eastAsia" w:ascii="宋体" w:hAnsi="宋体"/>
              </w:rPr>
              <w:t>所投产品的计算机软件著作权登记证书扫描件，原件备查。</w:t>
            </w:r>
          </w:p>
          <w:p w14:paraId="6D377280">
            <w:pPr>
              <w:rPr>
                <w:rFonts w:ascii="宋体" w:hAnsi="宋体"/>
                <w:kern w:val="0"/>
              </w:rPr>
            </w:pPr>
            <w:r>
              <w:rPr>
                <w:rFonts w:hint="eastAsia" w:ascii="宋体" w:hAnsi="宋体"/>
                <w:kern w:val="0"/>
              </w:rPr>
              <w:t>3.本项目不接受联合体投标，不允许投标人选用进口产品参与投标；</w:t>
            </w:r>
          </w:p>
          <w:p w14:paraId="5B9B6891">
            <w:pPr>
              <w:rPr>
                <w:rFonts w:ascii="宋体" w:hAnsi="宋体"/>
                <w:kern w:val="0"/>
              </w:rPr>
            </w:pPr>
            <w:r>
              <w:rPr>
                <w:rFonts w:hint="eastAsia" w:ascii="宋体" w:hAnsi="宋体"/>
                <w:kern w:val="0"/>
              </w:rPr>
              <w:t>4.参与本项目投标前三年内，在经营活动中没有重大违法记录（由供应商在《政府采购投标及履约承诺函》中作出声明）；</w:t>
            </w:r>
          </w:p>
          <w:p w14:paraId="4D883A4B">
            <w:pPr>
              <w:rPr>
                <w:rFonts w:ascii="宋体" w:hAnsi="宋体"/>
                <w:kern w:val="0"/>
              </w:rPr>
            </w:pPr>
            <w:r>
              <w:rPr>
                <w:rFonts w:hint="eastAsia" w:ascii="宋体" w:hAnsi="宋体"/>
                <w:kern w:val="0"/>
              </w:rPr>
              <w:t>5.参与本项目政府采购活动时不存在被有关部门禁止参与政府采购活动</w:t>
            </w:r>
            <w:bookmarkStart w:id="0" w:name="_GoBack"/>
            <w:bookmarkEnd w:id="0"/>
            <w:r>
              <w:rPr>
                <w:rFonts w:hint="eastAsia" w:ascii="宋体" w:hAnsi="宋体"/>
                <w:kern w:val="0"/>
              </w:rPr>
              <w:t>且在有效期内的情况（由供应商在《政府采购投标及履约承诺函》中作出声明）；</w:t>
            </w:r>
          </w:p>
          <w:p w14:paraId="1D223AAD">
            <w:pPr>
              <w:rPr>
                <w:rFonts w:ascii="宋体" w:hAnsi="宋体"/>
                <w:kern w:val="0"/>
              </w:rPr>
            </w:pPr>
            <w:r>
              <w:rPr>
                <w:rFonts w:hint="eastAsia" w:ascii="宋体" w:hAnsi="宋体"/>
                <w:kern w:val="0"/>
              </w:rPr>
              <w:t>6.具备《中华人民共和国政府采购法》第二十二条第一款的条件（由供应商在《政府采购投标及履约承诺函》中作出声明）；</w:t>
            </w:r>
          </w:p>
          <w:p w14:paraId="79379FAB">
            <w:pPr>
              <w:rPr>
                <w:rFonts w:ascii="宋体" w:hAnsi="宋体"/>
                <w:kern w:val="0"/>
              </w:rPr>
            </w:pPr>
            <w:r>
              <w:rPr>
                <w:rFonts w:hint="eastAsia" w:ascii="宋体" w:hAnsi="宋体"/>
                <w:kern w:val="0"/>
              </w:rPr>
              <w:t>7.未被列入失信被执行人、重大税收违法案件当事人名单、政府采购严重违法失信行为记录名单（由供应商在《政府采购投标及履约承诺函》中作出声明）。</w:t>
            </w:r>
          </w:p>
          <w:p w14:paraId="20FE8A9A">
            <w:pPr>
              <w:rPr>
                <w:rFonts w:ascii="宋体" w:hAnsi="宋体"/>
                <w:kern w:val="0"/>
              </w:rPr>
            </w:pPr>
            <w:r>
              <w:rPr>
                <w:rFonts w:ascii="宋体" w:hAnsi="宋体"/>
                <w:kern w:val="0"/>
              </w:rPr>
              <w:t>8</w:t>
            </w:r>
            <w:r>
              <w:rPr>
                <w:rFonts w:hint="eastAsia" w:ascii="宋体" w:hAnsi="宋体"/>
                <w:kern w:val="0"/>
              </w:rPr>
              <w:t>. 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由供应商在《政府采购投标及履约承诺函》中作出声明）。</w:t>
            </w:r>
          </w:p>
          <w:p w14:paraId="3CFF8278">
            <w:pPr>
              <w:rPr>
                <w:rFonts w:ascii="宋体" w:hAnsi="宋体"/>
                <w:kern w:val="0"/>
                <w:szCs w:val="21"/>
              </w:rPr>
            </w:pPr>
            <w:r>
              <w:rPr>
                <w:rFonts w:hint="eastAsia" w:ascii="宋体" w:hAnsi="宋体" w:cs="宋体"/>
                <w:szCs w:val="21"/>
              </w:rPr>
              <w:t>9.本项目不属于专门面向中小企业采购的项目。</w:t>
            </w:r>
          </w:p>
          <w:p w14:paraId="0B513219">
            <w:pPr>
              <w:rPr>
                <w:rFonts w:ascii="宋体" w:hAnsi="宋体" w:cs="宋体"/>
                <w:b/>
                <w:color w:val="FF0000"/>
                <w:kern w:val="0"/>
                <w:szCs w:val="21"/>
              </w:rPr>
            </w:pPr>
          </w:p>
        </w:tc>
      </w:tr>
      <w:tr w14:paraId="35423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451" w:type="dxa"/>
          </w:tcPr>
          <w:p w14:paraId="3991AB04">
            <w:pPr>
              <w:jc w:val="center"/>
              <w:rPr>
                <w:rFonts w:ascii="宋体" w:hAnsi="宋体" w:cs="宋体"/>
                <w:kern w:val="0"/>
                <w:szCs w:val="21"/>
              </w:rPr>
            </w:pPr>
            <w:r>
              <w:rPr>
                <w:rFonts w:hint="eastAsia" w:ascii="宋体" w:hAnsi="宋体" w:cs="宋体"/>
                <w:kern w:val="0"/>
                <w:szCs w:val="21"/>
              </w:rPr>
              <w:t>清单</w:t>
            </w:r>
          </w:p>
        </w:tc>
        <w:tc>
          <w:tcPr>
            <w:tcW w:w="9265" w:type="dxa"/>
            <w:gridSpan w:val="4"/>
          </w:tcPr>
          <w:tbl>
            <w:tblPr>
              <w:tblStyle w:val="11"/>
              <w:tblW w:w="82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1"/>
              <w:gridCol w:w="3282"/>
              <w:gridCol w:w="834"/>
              <w:gridCol w:w="1117"/>
              <w:gridCol w:w="1143"/>
              <w:gridCol w:w="1117"/>
            </w:tblGrid>
            <w:tr w14:paraId="08E39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771" w:type="dxa"/>
                </w:tcPr>
                <w:p w14:paraId="09DFFB47">
                  <w:pPr>
                    <w:jc w:val="center"/>
                    <w:rPr>
                      <w:bCs/>
                      <w:szCs w:val="21"/>
                    </w:rPr>
                  </w:pPr>
                  <w:r>
                    <w:rPr>
                      <w:rFonts w:hint="eastAsia"/>
                      <w:bCs/>
                      <w:szCs w:val="21"/>
                    </w:rPr>
                    <w:t>序号</w:t>
                  </w:r>
                </w:p>
              </w:tc>
              <w:tc>
                <w:tcPr>
                  <w:tcW w:w="3282" w:type="dxa"/>
                </w:tcPr>
                <w:p w14:paraId="576BF0E8">
                  <w:pPr>
                    <w:jc w:val="center"/>
                    <w:rPr>
                      <w:bCs/>
                      <w:szCs w:val="21"/>
                    </w:rPr>
                  </w:pPr>
                  <w:r>
                    <w:rPr>
                      <w:rFonts w:hint="eastAsia"/>
                      <w:bCs/>
                      <w:szCs w:val="21"/>
                    </w:rPr>
                    <w:t>标的</w:t>
                  </w:r>
                </w:p>
              </w:tc>
              <w:tc>
                <w:tcPr>
                  <w:tcW w:w="834" w:type="dxa"/>
                </w:tcPr>
                <w:p w14:paraId="6C325892">
                  <w:pPr>
                    <w:jc w:val="center"/>
                    <w:rPr>
                      <w:bCs/>
                      <w:szCs w:val="21"/>
                    </w:rPr>
                  </w:pPr>
                  <w:r>
                    <w:rPr>
                      <w:rFonts w:hint="eastAsia"/>
                      <w:bCs/>
                      <w:szCs w:val="21"/>
                    </w:rPr>
                    <w:t>数量</w:t>
                  </w:r>
                </w:p>
              </w:tc>
              <w:tc>
                <w:tcPr>
                  <w:tcW w:w="1117" w:type="dxa"/>
                </w:tcPr>
                <w:p w14:paraId="518B3531">
                  <w:pPr>
                    <w:jc w:val="center"/>
                    <w:rPr>
                      <w:bCs/>
                      <w:szCs w:val="21"/>
                    </w:rPr>
                  </w:pPr>
                  <w:r>
                    <w:rPr>
                      <w:rFonts w:hint="eastAsia"/>
                      <w:bCs/>
                      <w:szCs w:val="21"/>
                    </w:rPr>
                    <w:t>单位</w:t>
                  </w:r>
                </w:p>
              </w:tc>
              <w:tc>
                <w:tcPr>
                  <w:tcW w:w="1143" w:type="dxa"/>
                </w:tcPr>
                <w:p w14:paraId="1064D56A">
                  <w:pPr>
                    <w:jc w:val="center"/>
                    <w:rPr>
                      <w:bCs/>
                      <w:szCs w:val="21"/>
                    </w:rPr>
                  </w:pPr>
                  <w:r>
                    <w:rPr>
                      <w:rFonts w:hint="eastAsia"/>
                      <w:bCs/>
                      <w:szCs w:val="21"/>
                    </w:rPr>
                    <w:t>备注</w:t>
                  </w:r>
                </w:p>
              </w:tc>
              <w:tc>
                <w:tcPr>
                  <w:tcW w:w="1117" w:type="dxa"/>
                </w:tcPr>
                <w:p w14:paraId="404DE0AB">
                  <w:pPr>
                    <w:jc w:val="center"/>
                    <w:rPr>
                      <w:bCs/>
                      <w:szCs w:val="21"/>
                    </w:rPr>
                  </w:pPr>
                  <w:r>
                    <w:rPr>
                      <w:rFonts w:hint="eastAsia"/>
                      <w:bCs/>
                      <w:szCs w:val="21"/>
                    </w:rPr>
                    <w:t>预算限额（元）</w:t>
                  </w:r>
                </w:p>
              </w:tc>
            </w:tr>
            <w:tr w14:paraId="7F226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shd w:val="clear" w:color="auto" w:fill="auto"/>
                </w:tcPr>
                <w:p w14:paraId="40EB38C3">
                  <w:pPr>
                    <w:jc w:val="center"/>
                    <w:rPr>
                      <w:bCs/>
                      <w:szCs w:val="21"/>
                    </w:rPr>
                  </w:pPr>
                  <w:r>
                    <w:rPr>
                      <w:rFonts w:hint="eastAsia"/>
                      <w:bCs/>
                      <w:szCs w:val="21"/>
                    </w:rPr>
                    <w:t>1</w:t>
                  </w:r>
                </w:p>
              </w:tc>
              <w:tc>
                <w:tcPr>
                  <w:tcW w:w="3282" w:type="dxa"/>
                  <w:shd w:val="clear" w:color="auto" w:fill="auto"/>
                </w:tcPr>
                <w:p w14:paraId="60326BF5">
                  <w:pPr>
                    <w:jc w:val="center"/>
                    <w:rPr>
                      <w:bCs/>
                      <w:szCs w:val="21"/>
                    </w:rPr>
                  </w:pPr>
                  <w:r>
                    <w:rPr>
                      <w:rFonts w:hint="eastAsia"/>
                      <w:bCs/>
                      <w:szCs w:val="21"/>
                    </w:rPr>
                    <w:t>耳鼻咽喉头颈外科信息系统</w:t>
                  </w:r>
                </w:p>
              </w:tc>
              <w:tc>
                <w:tcPr>
                  <w:tcW w:w="834" w:type="dxa"/>
                </w:tcPr>
                <w:p w14:paraId="4D445E94">
                  <w:pPr>
                    <w:jc w:val="center"/>
                    <w:rPr>
                      <w:bCs/>
                      <w:szCs w:val="21"/>
                    </w:rPr>
                  </w:pPr>
                  <w:r>
                    <w:rPr>
                      <w:rFonts w:hint="eastAsia"/>
                      <w:bCs/>
                      <w:szCs w:val="21"/>
                    </w:rPr>
                    <w:t>1</w:t>
                  </w:r>
                </w:p>
              </w:tc>
              <w:tc>
                <w:tcPr>
                  <w:tcW w:w="1117" w:type="dxa"/>
                </w:tcPr>
                <w:p w14:paraId="3CCD719F">
                  <w:pPr>
                    <w:jc w:val="center"/>
                    <w:rPr>
                      <w:bCs/>
                      <w:szCs w:val="21"/>
                    </w:rPr>
                  </w:pPr>
                  <w:r>
                    <w:rPr>
                      <w:rFonts w:hint="eastAsia"/>
                      <w:bCs/>
                      <w:szCs w:val="21"/>
                    </w:rPr>
                    <w:t>项</w:t>
                  </w:r>
                </w:p>
              </w:tc>
              <w:tc>
                <w:tcPr>
                  <w:tcW w:w="1143" w:type="dxa"/>
                </w:tcPr>
                <w:p w14:paraId="7B8BE468">
                  <w:pPr>
                    <w:jc w:val="center"/>
                    <w:rPr>
                      <w:bCs/>
                      <w:szCs w:val="21"/>
                    </w:rPr>
                  </w:pPr>
                  <w:r>
                    <w:rPr>
                      <w:rFonts w:hint="eastAsia"/>
                      <w:bCs/>
                      <w:szCs w:val="21"/>
                    </w:rPr>
                    <w:t>拒绝</w:t>
                  </w:r>
                  <w:r>
                    <w:rPr>
                      <w:bCs/>
                      <w:szCs w:val="21"/>
                    </w:rPr>
                    <w:t>进口</w:t>
                  </w:r>
                </w:p>
              </w:tc>
              <w:tc>
                <w:tcPr>
                  <w:tcW w:w="1117" w:type="dxa"/>
                </w:tcPr>
                <w:p w14:paraId="18B765A8">
                  <w:pPr>
                    <w:jc w:val="center"/>
                    <w:rPr>
                      <w:bCs/>
                      <w:szCs w:val="21"/>
                    </w:rPr>
                  </w:pPr>
                  <w:r>
                    <w:rPr>
                      <w:rFonts w:hint="eastAsia"/>
                      <w:bCs/>
                      <w:szCs w:val="21"/>
                    </w:rPr>
                    <w:t>540000.00</w:t>
                  </w:r>
                </w:p>
              </w:tc>
            </w:tr>
          </w:tbl>
          <w:p w14:paraId="193D6828">
            <w:pPr>
              <w:jc w:val="center"/>
              <w:rPr>
                <w:bCs/>
                <w:szCs w:val="21"/>
              </w:rPr>
            </w:pPr>
          </w:p>
          <w:p w14:paraId="0CC07741"/>
        </w:tc>
      </w:tr>
      <w:tr w14:paraId="5B517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0" w:hRule="atLeast"/>
        </w:trPr>
        <w:tc>
          <w:tcPr>
            <w:tcW w:w="451" w:type="dxa"/>
          </w:tcPr>
          <w:p w14:paraId="0E1D18B1">
            <w:pPr>
              <w:jc w:val="center"/>
              <w:rPr>
                <w:rFonts w:ascii="宋体" w:hAnsi="宋体" w:cs="宋体"/>
                <w:kern w:val="0"/>
                <w:szCs w:val="21"/>
              </w:rPr>
            </w:pPr>
            <w:r>
              <w:rPr>
                <w:rFonts w:hint="eastAsia" w:ascii="宋体" w:hAnsi="宋体" w:cs="宋体"/>
                <w:kern w:val="0"/>
                <w:szCs w:val="21"/>
              </w:rPr>
              <w:t>具体技术要求</w:t>
            </w:r>
          </w:p>
        </w:tc>
        <w:tc>
          <w:tcPr>
            <w:tcW w:w="9265" w:type="dxa"/>
            <w:gridSpan w:val="4"/>
          </w:tcPr>
          <w:p w14:paraId="65341248">
            <w:pPr>
              <w:spacing w:line="276" w:lineRule="auto"/>
            </w:pPr>
            <w:r>
              <w:rPr>
                <w:rFonts w:hint="eastAsia"/>
              </w:rPr>
              <w:t xml:space="preserve">注意：提供服务总体要求、服务标的（如人员、车辆、检测对象、管理对象）数量情况、详细具体的服务需求内容及工作量情况（以能给供应商准确的报价依据，使不同供应商的项目报价不至于差距过大作为判断需求“详细具体”的标准） </w:t>
            </w:r>
          </w:p>
          <w:p w14:paraId="18A5A528">
            <w:pPr>
              <w:spacing w:line="276" w:lineRule="auto"/>
              <w:rPr>
                <w:rFonts w:ascii="宋体" w:hAnsi="宋体"/>
              </w:rPr>
            </w:pPr>
            <w:r>
              <w:rPr>
                <w:rFonts w:hint="eastAsia" w:ascii="宋体" w:hAnsi="宋体"/>
              </w:rPr>
              <w:t>（一）技术</w:t>
            </w:r>
            <w:r>
              <w:rPr>
                <w:rFonts w:ascii="宋体" w:hAnsi="宋体"/>
              </w:rPr>
              <w:t>参数：</w:t>
            </w:r>
          </w:p>
          <w:p w14:paraId="3AA5DB5F">
            <w:pPr>
              <w:spacing w:line="276" w:lineRule="auto"/>
              <w:rPr>
                <w:rFonts w:ascii="宋体" w:hAnsi="宋体"/>
              </w:rPr>
            </w:pPr>
            <w:r>
              <w:rPr>
                <w:rFonts w:ascii="宋体" w:hAnsi="宋体"/>
              </w:rPr>
              <w:t>1</w:t>
            </w:r>
            <w:r>
              <w:rPr>
                <w:rFonts w:hint="eastAsia" w:ascii="宋体" w:hAnsi="宋体"/>
              </w:rPr>
              <w:t>、</w:t>
            </w:r>
            <w:r>
              <w:rPr>
                <w:rFonts w:ascii="宋体" w:hAnsi="宋体"/>
              </w:rPr>
              <w:t>基本需求</w:t>
            </w:r>
            <w:r>
              <w:rPr>
                <w:rFonts w:ascii="宋体" w:hAnsi="宋体"/>
              </w:rPr>
              <w:cr/>
            </w:r>
            <w:r>
              <w:rPr>
                <w:rFonts w:ascii="宋体" w:hAnsi="宋体"/>
              </w:rPr>
              <w:t>1.1</w:t>
            </w:r>
            <w:r>
              <w:rPr>
                <w:rFonts w:hint="eastAsia" w:ascii="宋体" w:hAnsi="宋体" w:cs="宋体"/>
                <w:color w:val="000000"/>
                <w:szCs w:val="21"/>
              </w:rPr>
              <w:t>▲</w:t>
            </w:r>
            <w:r>
              <w:rPr>
                <w:rFonts w:ascii="宋体" w:hAnsi="宋体"/>
              </w:rPr>
              <w:t>兼容性好，</w:t>
            </w:r>
            <w:r>
              <w:rPr>
                <w:rFonts w:hint="eastAsia" w:ascii="宋体" w:hAnsi="宋体"/>
              </w:rPr>
              <w:t>能</w:t>
            </w:r>
            <w:r>
              <w:rPr>
                <w:rFonts w:ascii="宋体" w:hAnsi="宋体"/>
              </w:rPr>
              <w:t>支持GSI</w:t>
            </w:r>
            <w:r>
              <w:rPr>
                <w:rFonts w:hint="eastAsia" w:ascii="宋体" w:hAnsi="宋体"/>
              </w:rPr>
              <w:t>、尔听美</w:t>
            </w:r>
            <w:r>
              <w:rPr>
                <w:rFonts w:ascii="宋体" w:hAnsi="宋体"/>
              </w:rPr>
              <w:t>、国际听力、</w:t>
            </w:r>
            <w:r>
              <w:rPr>
                <w:rFonts w:hint="eastAsia" w:ascii="宋体" w:hAnsi="宋体"/>
              </w:rPr>
              <w:t>优听</w:t>
            </w:r>
            <w:r>
              <w:rPr>
                <w:rFonts w:ascii="宋体" w:hAnsi="宋体"/>
              </w:rPr>
              <w:t>等国际主流品牌的听力计，真正做到原生态支持。</w:t>
            </w:r>
            <w:r>
              <w:rPr>
                <w:rFonts w:ascii="宋体" w:hAnsi="宋体"/>
              </w:rPr>
              <w:cr/>
            </w:r>
            <w:r>
              <w:rPr>
                <w:rFonts w:ascii="宋体" w:hAnsi="宋体"/>
              </w:rPr>
              <w:t>1.2标准化软件操作界面：同一检查项目不同品牌听力计，操作控制界面统一，方便用户操作。</w:t>
            </w:r>
            <w:r>
              <w:rPr>
                <w:rFonts w:ascii="宋体" w:hAnsi="宋体"/>
              </w:rPr>
              <w:cr/>
            </w:r>
            <w:r>
              <w:rPr>
                <w:rFonts w:ascii="宋体" w:hAnsi="宋体"/>
              </w:rPr>
              <w:t>1.3统一的报告打印模板：模板化的报告打印版式，同时可自定义个性化标题，给患者以专业、严谨的良好印象。</w:t>
            </w:r>
            <w:r>
              <w:rPr>
                <w:rFonts w:ascii="宋体" w:hAnsi="宋体"/>
              </w:rPr>
              <w:cr/>
            </w:r>
            <w:r>
              <w:rPr>
                <w:rFonts w:ascii="宋体" w:hAnsi="宋体"/>
              </w:rPr>
              <w:t>1.4数据采集和保存功能：采集并保存检测原始结果及波形数据，方便后期开展数据研究与分析。</w:t>
            </w:r>
            <w:r>
              <w:rPr>
                <w:rFonts w:ascii="宋体" w:hAnsi="宋体"/>
              </w:rPr>
              <w:cr/>
            </w:r>
            <w:r>
              <w:rPr>
                <w:rFonts w:ascii="宋体" w:hAnsi="宋体"/>
              </w:rPr>
              <w:t>1.5综合统计功能：具有检查结果、工</w:t>
            </w:r>
            <w:r>
              <w:rPr>
                <w:rFonts w:hint="eastAsia" w:ascii="宋体" w:hAnsi="宋体"/>
              </w:rPr>
              <w:t>作量等数据的统计功能，统计结果可导出</w:t>
            </w:r>
            <w:r>
              <w:rPr>
                <w:rFonts w:ascii="宋体" w:hAnsi="宋体"/>
              </w:rPr>
              <w:t>EXCEL/CSV数据文件。</w:t>
            </w:r>
            <w:r>
              <w:rPr>
                <w:rFonts w:ascii="宋体" w:hAnsi="宋体"/>
              </w:rPr>
              <w:cr/>
            </w:r>
            <w:r>
              <w:rPr>
                <w:rFonts w:ascii="宋体" w:hAnsi="宋体"/>
              </w:rPr>
              <w:t>1.6稳定的产品：要求软件产品可靠性强、故障率低。</w:t>
            </w:r>
            <w:r>
              <w:rPr>
                <w:rFonts w:ascii="宋体" w:hAnsi="宋体"/>
              </w:rPr>
              <w:cr/>
            </w:r>
            <w:r>
              <w:rPr>
                <w:rFonts w:ascii="宋体" w:hAnsi="宋体"/>
              </w:rPr>
              <w:t>1.7拥有标准化的外部交互接口与本地化技术团队，</w:t>
            </w:r>
            <w:r>
              <w:rPr>
                <w:rFonts w:ascii="宋体" w:hAnsi="宋体"/>
                <w:highlight w:val="yellow"/>
              </w:rPr>
              <w:t>提供与院</w:t>
            </w:r>
            <w:r>
              <w:rPr>
                <w:rFonts w:hint="eastAsia" w:ascii="宋体" w:hAnsi="宋体"/>
                <w:highlight w:val="yellow"/>
              </w:rPr>
              <w:t>内</w:t>
            </w:r>
            <w:r>
              <w:rPr>
                <w:rFonts w:ascii="宋体" w:hAnsi="宋体"/>
                <w:highlight w:val="yellow"/>
              </w:rPr>
              <w:t>HIS/PACS</w:t>
            </w:r>
            <w:r>
              <w:rPr>
                <w:rFonts w:hint="eastAsia" w:ascii="宋体" w:hAnsi="宋体"/>
                <w:highlight w:val="yellow"/>
              </w:rPr>
              <w:t>/集成平台等</w:t>
            </w:r>
            <w:r>
              <w:rPr>
                <w:rFonts w:ascii="宋体" w:hAnsi="宋体"/>
                <w:highlight w:val="yellow"/>
              </w:rPr>
              <w:t>软件</w:t>
            </w:r>
            <w:r>
              <w:rPr>
                <w:rFonts w:hint="eastAsia" w:ascii="宋体" w:hAnsi="宋体"/>
                <w:highlight w:val="yellow"/>
              </w:rPr>
              <w:t>系统</w:t>
            </w:r>
            <w:r>
              <w:rPr>
                <w:rFonts w:ascii="宋体" w:hAnsi="宋体"/>
                <w:highlight w:val="yellow"/>
              </w:rPr>
              <w:t>数</w:t>
            </w:r>
            <w:r>
              <w:rPr>
                <w:rFonts w:ascii="宋体" w:hAnsi="宋体"/>
              </w:rPr>
              <w:t>据交互接口的定制服务。</w:t>
            </w:r>
            <w:r>
              <w:rPr>
                <w:rFonts w:ascii="宋体" w:hAnsi="宋体"/>
              </w:rPr>
              <w:cr/>
            </w:r>
            <w:r>
              <w:rPr>
                <w:rFonts w:ascii="宋体" w:hAnsi="宋体"/>
              </w:rPr>
              <w:t>2</w:t>
            </w:r>
            <w:r>
              <w:rPr>
                <w:rFonts w:hint="eastAsia" w:ascii="宋体" w:hAnsi="宋体"/>
              </w:rPr>
              <w:t>、</w:t>
            </w:r>
            <w:r>
              <w:rPr>
                <w:rFonts w:ascii="宋体" w:hAnsi="宋体"/>
              </w:rPr>
              <w:t>系统管理模块</w:t>
            </w:r>
            <w:r>
              <w:rPr>
                <w:rFonts w:ascii="宋体" w:hAnsi="宋体"/>
              </w:rPr>
              <w:cr/>
            </w:r>
            <w:r>
              <w:rPr>
                <w:rFonts w:ascii="宋体" w:hAnsi="宋体"/>
              </w:rPr>
              <w:t>2.1检查室管理：可新建、删除检查科室，并可指定科室相关的检查项目。</w:t>
            </w:r>
            <w:r>
              <w:rPr>
                <w:rFonts w:ascii="宋体" w:hAnsi="宋体"/>
              </w:rPr>
              <w:cr/>
            </w:r>
            <w:r>
              <w:rPr>
                <w:rFonts w:ascii="宋体" w:hAnsi="宋体"/>
              </w:rPr>
              <w:t>2.2检查项管理：可新建、删除检查项目。</w:t>
            </w:r>
            <w:r>
              <w:rPr>
                <w:rFonts w:ascii="宋体" w:hAnsi="宋体"/>
              </w:rPr>
              <w:cr/>
            </w:r>
            <w:r>
              <w:rPr>
                <w:rFonts w:ascii="宋体" w:hAnsi="宋体"/>
              </w:rPr>
              <w:t>2.3用户、权限管理：系统用户的添加、删除、编辑，并可设置不同用户及权限。</w:t>
            </w:r>
            <w:r>
              <w:rPr>
                <w:rFonts w:ascii="宋体" w:hAnsi="宋体"/>
              </w:rPr>
              <w:cr/>
            </w:r>
            <w:r>
              <w:rPr>
                <w:rFonts w:ascii="宋体" w:hAnsi="宋体"/>
              </w:rPr>
              <w:t>2.4数据备份：可手动、自动备份数据库。</w:t>
            </w:r>
            <w:r>
              <w:rPr>
                <w:rFonts w:ascii="宋体" w:hAnsi="宋体"/>
              </w:rPr>
              <w:cr/>
            </w:r>
            <w:r>
              <w:rPr>
                <w:rFonts w:ascii="宋体" w:hAnsi="宋体"/>
              </w:rPr>
              <w:t>3</w:t>
            </w:r>
            <w:r>
              <w:rPr>
                <w:rFonts w:hint="eastAsia" w:ascii="宋体" w:hAnsi="宋体"/>
              </w:rPr>
              <w:t>、</w:t>
            </w:r>
            <w:r>
              <w:rPr>
                <w:rFonts w:ascii="宋体" w:hAnsi="宋体"/>
              </w:rPr>
              <w:t>检查执行报告模块</w:t>
            </w:r>
            <w:r>
              <w:rPr>
                <w:rFonts w:ascii="宋体" w:hAnsi="宋体"/>
              </w:rPr>
              <w:cr/>
            </w:r>
            <w:r>
              <w:rPr>
                <w:rFonts w:ascii="宋体" w:hAnsi="宋体"/>
              </w:rPr>
              <w:t>3.1纯</w:t>
            </w:r>
            <w:r>
              <w:rPr>
                <w:rFonts w:hint="eastAsia" w:ascii="宋体" w:hAnsi="宋体"/>
              </w:rPr>
              <w:t>音测听：</w:t>
            </w:r>
            <w:r>
              <w:rPr>
                <w:rFonts w:ascii="宋体" w:hAnsi="宋体"/>
              </w:rPr>
              <w:t>检查技师可以直接在操作界面里绘制听力波形图。同时，系统可以与纯音测听仪的连接，具有从纯音测听仪的结果数据采集的功能。在检查结果保存完毕后，可直接打印检查报告单。</w:t>
            </w:r>
            <w:r>
              <w:rPr>
                <w:rFonts w:ascii="宋体" w:hAnsi="宋体"/>
              </w:rPr>
              <w:cr/>
            </w:r>
            <w:r>
              <w:rPr>
                <w:rFonts w:ascii="宋体" w:hAnsi="宋体"/>
              </w:rPr>
              <w:t>3.2声导抗测听</w:t>
            </w:r>
            <w:r>
              <w:rPr>
                <w:rFonts w:hint="eastAsia" w:ascii="宋体" w:hAnsi="宋体"/>
              </w:rPr>
              <w:t>：</w:t>
            </w:r>
            <w:r>
              <w:rPr>
                <w:rFonts w:ascii="宋体" w:hAnsi="宋体"/>
              </w:rPr>
              <w:t>检查技师可以直接在操作界面里录入检查结果。同时系统可以与听力仪的连接，实现检查结果数据采集的功能。在检查结果保存完毕后，可直接打印检查报告单。</w:t>
            </w:r>
            <w:r>
              <w:rPr>
                <w:rFonts w:ascii="宋体" w:hAnsi="宋体"/>
              </w:rPr>
              <w:cr/>
            </w:r>
            <w:r>
              <w:rPr>
                <w:rFonts w:ascii="宋体" w:hAnsi="宋体"/>
              </w:rPr>
              <w:t>3.3</w:t>
            </w:r>
            <w:r>
              <w:rPr>
                <w:rFonts w:hint="eastAsia" w:ascii="宋体" w:hAnsi="宋体" w:cs="宋体"/>
                <w:color w:val="000000"/>
                <w:szCs w:val="21"/>
              </w:rPr>
              <w:t>▲</w:t>
            </w:r>
            <w:r>
              <w:rPr>
                <w:rFonts w:ascii="宋体" w:hAnsi="宋体"/>
              </w:rPr>
              <w:t>听性脑干反应阈值</w:t>
            </w:r>
            <w:r>
              <w:rPr>
                <w:rFonts w:hint="eastAsia" w:ascii="宋体" w:hAnsi="宋体"/>
              </w:rPr>
              <w:t>：</w:t>
            </w:r>
            <w:r>
              <w:rPr>
                <w:rFonts w:ascii="宋体" w:hAnsi="宋体"/>
              </w:rPr>
              <w:t>检查技师可以直接在操作界面里录入检查结果，在检查结果保存完毕后可以直接打印检查报告单。同时系统可以直接读取测试系统的结果数据，并生成报告。</w:t>
            </w:r>
            <w:r>
              <w:rPr>
                <w:rFonts w:ascii="宋体" w:hAnsi="宋体"/>
              </w:rPr>
              <w:cr/>
            </w:r>
            <w:r>
              <w:rPr>
                <w:rFonts w:ascii="宋体" w:hAnsi="宋体"/>
              </w:rPr>
              <w:t>3.4</w:t>
            </w:r>
            <w:r>
              <w:rPr>
                <w:rFonts w:hint="eastAsia" w:ascii="宋体" w:hAnsi="宋体" w:cs="宋体"/>
                <w:color w:val="000000"/>
                <w:szCs w:val="21"/>
              </w:rPr>
              <w:t>▲</w:t>
            </w:r>
            <w:r>
              <w:rPr>
                <w:rFonts w:ascii="宋体" w:hAnsi="宋体"/>
              </w:rPr>
              <w:t>听性脑干反应潜伏期</w:t>
            </w:r>
            <w:r>
              <w:rPr>
                <w:rFonts w:hint="eastAsia" w:ascii="宋体" w:hAnsi="宋体"/>
              </w:rPr>
              <w:t>：</w:t>
            </w:r>
            <w:r>
              <w:rPr>
                <w:rFonts w:ascii="宋体" w:hAnsi="宋体"/>
              </w:rPr>
              <w:t>检查技师可以直接在操作界面里录入检查结果，并且可以上传听性脑干反应潜伏期检查的原始波形，以供各工作站医生进行诊断。在检查结果保存完毕后，可以直接打印检查报告单。同时系统可以直接读取测试系统的结果数据，并生成报告。</w:t>
            </w:r>
            <w:r>
              <w:rPr>
                <w:rFonts w:ascii="宋体" w:hAnsi="宋体"/>
              </w:rPr>
              <w:cr/>
            </w:r>
            <w:r>
              <w:rPr>
                <w:rFonts w:ascii="宋体" w:hAnsi="宋体"/>
              </w:rPr>
              <w:t>3.5</w:t>
            </w:r>
            <w:r>
              <w:rPr>
                <w:rFonts w:hint="eastAsia" w:ascii="宋体" w:hAnsi="宋体" w:cs="宋体"/>
                <w:color w:val="000000"/>
                <w:szCs w:val="21"/>
              </w:rPr>
              <w:t>▲</w:t>
            </w:r>
            <w:r>
              <w:rPr>
                <w:rFonts w:ascii="宋体" w:hAnsi="宋体"/>
              </w:rPr>
              <w:t>“40Hz”听觉相关电位反应测听</w:t>
            </w:r>
            <w:r>
              <w:rPr>
                <w:rFonts w:hint="eastAsia" w:ascii="宋体" w:hAnsi="宋体"/>
              </w:rPr>
              <w:t>：</w:t>
            </w:r>
            <w:r>
              <w:rPr>
                <w:rFonts w:ascii="宋体" w:hAnsi="宋体"/>
              </w:rPr>
              <w:t>检查技师可以直接在操作界面里录入检查结果，并且可上传“40Hz”听觉相关电位反应测听检查的原始波形，以供各工作站医生进行诊断，提高工作效率及诊断结果准确性。在检查结果保存完毕后，可以直接打印检查报告单。同时系统可以直接读取测试系统</w:t>
            </w:r>
            <w:r>
              <w:rPr>
                <w:rFonts w:hint="eastAsia" w:ascii="宋体" w:hAnsi="宋体"/>
              </w:rPr>
              <w:t>的结果数据，并生成报告。</w:t>
            </w:r>
            <w:r>
              <w:rPr>
                <w:rFonts w:ascii="宋体" w:hAnsi="宋体"/>
              </w:rPr>
              <w:cr/>
            </w:r>
            <w:r>
              <w:rPr>
                <w:rFonts w:ascii="宋体" w:hAnsi="宋体"/>
              </w:rPr>
              <w:t>3.6畸变耳声发射</w:t>
            </w:r>
            <w:r>
              <w:rPr>
                <w:rFonts w:hint="eastAsia" w:ascii="宋体" w:hAnsi="宋体"/>
              </w:rPr>
              <w:t>：</w:t>
            </w:r>
            <w:r>
              <w:rPr>
                <w:rFonts w:ascii="宋体" w:hAnsi="宋体"/>
              </w:rPr>
              <w:t>检查技师可以直接在操作界面里录入检查结果，并且可上传畸变耳声发射检查的原始波形，以供各工作站医生进行诊断，提高工作效率及诊断结果准确性。同时系统可以直接读取测试系统的结果数据，并生成报告。</w:t>
            </w:r>
            <w:r>
              <w:rPr>
                <w:rFonts w:ascii="宋体" w:hAnsi="宋体"/>
              </w:rPr>
              <w:cr/>
            </w:r>
            <w:r>
              <w:rPr>
                <w:rFonts w:ascii="宋体" w:hAnsi="宋体"/>
              </w:rPr>
              <w:t>3.7</w:t>
            </w:r>
            <w:r>
              <w:rPr>
                <w:rFonts w:hint="eastAsia" w:ascii="宋体" w:hAnsi="宋体" w:cs="宋体"/>
                <w:color w:val="000000"/>
                <w:szCs w:val="21"/>
              </w:rPr>
              <w:t>▲</w:t>
            </w:r>
            <w:r>
              <w:rPr>
                <w:rFonts w:ascii="宋体" w:hAnsi="宋体"/>
              </w:rPr>
              <w:t>稳态听觉诱发检查</w:t>
            </w:r>
            <w:r>
              <w:rPr>
                <w:rFonts w:hint="eastAsia" w:ascii="宋体" w:hAnsi="宋体"/>
              </w:rPr>
              <w:t>：</w:t>
            </w:r>
            <w:r>
              <w:rPr>
                <w:rFonts w:ascii="宋体" w:hAnsi="宋体"/>
              </w:rPr>
              <w:t>检查技师可以直接在操作界面里录入检查结果，并且可上传稳态听觉诱发检查的原始波形，以供各工作站医生进行诊断，提高工作效率及诊断结果准确性。在检查结果保存完毕后，可以直接打印检查报告单。</w:t>
            </w:r>
            <w:r>
              <w:rPr>
                <w:rFonts w:ascii="宋体" w:hAnsi="宋体"/>
              </w:rPr>
              <w:cr/>
            </w:r>
            <w:r>
              <w:rPr>
                <w:rFonts w:ascii="宋体" w:hAnsi="宋体"/>
              </w:rPr>
              <w:t>3.8前庭功能检查</w:t>
            </w:r>
            <w:r>
              <w:rPr>
                <w:rFonts w:hint="eastAsia" w:ascii="宋体" w:hAnsi="宋体"/>
              </w:rPr>
              <w:t>：</w:t>
            </w:r>
            <w:r>
              <w:rPr>
                <w:rFonts w:ascii="宋体" w:hAnsi="宋体"/>
              </w:rPr>
              <w:t>检查技师可直接在操作界面里录入检查</w:t>
            </w:r>
            <w:r>
              <w:rPr>
                <w:rFonts w:hint="eastAsia" w:ascii="宋体" w:hAnsi="宋体"/>
              </w:rPr>
              <w:t>结果，在检查结果保存完毕后可以直接打印检查报告单。</w:t>
            </w:r>
            <w:r>
              <w:rPr>
                <w:rFonts w:ascii="宋体" w:hAnsi="宋体"/>
              </w:rPr>
              <w:cr/>
            </w:r>
            <w:r>
              <w:rPr>
                <w:rFonts w:ascii="宋体" w:hAnsi="宋体"/>
              </w:rPr>
              <w:t>3.9BPPV检查及报告</w:t>
            </w:r>
            <w:r>
              <w:rPr>
                <w:rFonts w:hint="eastAsia" w:ascii="宋体" w:hAnsi="宋体"/>
              </w:rPr>
              <w:t>：</w:t>
            </w:r>
            <w:r>
              <w:rPr>
                <w:rFonts w:ascii="宋体" w:hAnsi="宋体"/>
              </w:rPr>
              <w:t>检查技师可直接在操作界面里录入BPPV检查结果，在检查结果保存完毕后可以直接打印检查报告单。</w:t>
            </w:r>
            <w:r>
              <w:rPr>
                <w:rFonts w:ascii="宋体" w:hAnsi="宋体"/>
              </w:rPr>
              <w:cr/>
            </w:r>
            <w:r>
              <w:rPr>
                <w:rFonts w:ascii="宋体" w:hAnsi="宋体"/>
              </w:rPr>
              <w:t>3.10</w:t>
            </w:r>
            <w:r>
              <w:rPr>
                <w:rFonts w:hint="eastAsia" w:ascii="宋体" w:hAnsi="宋体" w:cs="宋体"/>
                <w:color w:val="000000"/>
                <w:szCs w:val="21"/>
              </w:rPr>
              <w:t>▲</w:t>
            </w:r>
            <w:r>
              <w:rPr>
                <w:rFonts w:ascii="宋体" w:hAnsi="宋体"/>
              </w:rPr>
              <w:t>多导睡眠呼吸监测</w:t>
            </w:r>
            <w:r>
              <w:rPr>
                <w:rFonts w:hint="eastAsia" w:ascii="宋体" w:hAnsi="宋体"/>
              </w:rPr>
              <w:t>：</w:t>
            </w:r>
            <w:r>
              <w:rPr>
                <w:rFonts w:ascii="宋体" w:hAnsi="宋体"/>
              </w:rPr>
              <w:t>检查技师可直接在操作界面里上传睡眠报告，系统支持将报告结果结构化存储与打印发布。</w:t>
            </w:r>
            <w:r>
              <w:rPr>
                <w:rFonts w:ascii="宋体" w:hAnsi="宋体"/>
              </w:rPr>
              <w:cr/>
            </w:r>
            <w:r>
              <w:rPr>
                <w:rFonts w:ascii="宋体" w:hAnsi="宋体"/>
              </w:rPr>
              <w:t>3.11鼻阻力</w:t>
            </w:r>
            <w:r>
              <w:rPr>
                <w:rFonts w:hint="eastAsia" w:ascii="宋体" w:hAnsi="宋体"/>
              </w:rPr>
              <w:t>：</w:t>
            </w:r>
            <w:r>
              <w:rPr>
                <w:rFonts w:ascii="宋体" w:hAnsi="宋体"/>
              </w:rPr>
              <w:t>检查技师可直接在操作界面里录入检查结果，在检查结果保存完毕后可以直接打印检查报告单。</w:t>
            </w:r>
            <w:r>
              <w:rPr>
                <w:rFonts w:ascii="宋体" w:hAnsi="宋体"/>
              </w:rPr>
              <w:cr/>
            </w:r>
            <w:r>
              <w:rPr>
                <w:rFonts w:ascii="宋体" w:hAnsi="宋体"/>
              </w:rPr>
              <w:t>4</w:t>
            </w:r>
            <w:r>
              <w:rPr>
                <w:rFonts w:hint="eastAsia" w:ascii="宋体" w:hAnsi="宋体"/>
              </w:rPr>
              <w:t>、</w:t>
            </w:r>
            <w:r>
              <w:rPr>
                <w:rFonts w:hint="eastAsia" w:ascii="宋体" w:hAnsi="宋体" w:cs="宋体"/>
                <w:color w:val="000000"/>
                <w:szCs w:val="21"/>
              </w:rPr>
              <w:t>▲</w:t>
            </w:r>
            <w:r>
              <w:rPr>
                <w:rFonts w:ascii="宋体" w:hAnsi="宋体"/>
              </w:rPr>
              <w:t>数据交换模块：入网设备10台，</w:t>
            </w:r>
            <w:r>
              <w:rPr>
                <w:rFonts w:hint="eastAsia" w:ascii="宋体" w:hAnsi="宋体"/>
              </w:rPr>
              <w:t>分别为</w:t>
            </w:r>
            <w:r>
              <w:rPr>
                <w:rFonts w:ascii="宋体" w:hAnsi="宋体"/>
              </w:rPr>
              <w:t>听力计2</w:t>
            </w:r>
            <w:r>
              <w:rPr>
                <w:rFonts w:hint="eastAsia" w:ascii="宋体" w:hAnsi="宋体"/>
              </w:rPr>
              <w:t>台、</w:t>
            </w:r>
            <w:r>
              <w:rPr>
                <w:rFonts w:ascii="宋体" w:hAnsi="宋体"/>
              </w:rPr>
              <w:t>声导抗2</w:t>
            </w:r>
            <w:r>
              <w:rPr>
                <w:rFonts w:hint="eastAsia" w:ascii="宋体" w:hAnsi="宋体"/>
              </w:rPr>
              <w:t>台、</w:t>
            </w:r>
            <w:r>
              <w:rPr>
                <w:rFonts w:ascii="宋体" w:hAnsi="宋体"/>
              </w:rPr>
              <w:t>前庭功能1</w:t>
            </w:r>
            <w:r>
              <w:rPr>
                <w:rFonts w:hint="eastAsia" w:ascii="宋体" w:hAnsi="宋体"/>
              </w:rPr>
              <w:t>台、</w:t>
            </w:r>
            <w:r>
              <w:rPr>
                <w:rFonts w:ascii="宋体" w:hAnsi="宋体"/>
              </w:rPr>
              <w:t>BPPV复位1</w:t>
            </w:r>
            <w:r>
              <w:rPr>
                <w:rFonts w:hint="eastAsia" w:ascii="宋体" w:hAnsi="宋体"/>
              </w:rPr>
              <w:t>台、</w:t>
            </w:r>
            <w:r>
              <w:rPr>
                <w:rFonts w:ascii="宋体" w:hAnsi="宋体"/>
              </w:rPr>
              <w:t>鼻阻力1</w:t>
            </w:r>
            <w:r>
              <w:rPr>
                <w:rFonts w:hint="eastAsia" w:ascii="宋体" w:hAnsi="宋体"/>
              </w:rPr>
              <w:t>台、</w:t>
            </w:r>
            <w:r>
              <w:rPr>
                <w:rFonts w:ascii="宋体" w:hAnsi="宋体"/>
              </w:rPr>
              <w:t>耳声发射</w:t>
            </w:r>
            <w:r>
              <w:rPr>
                <w:rFonts w:hint="eastAsia" w:ascii="宋体" w:hAnsi="宋体"/>
              </w:rPr>
              <w:t>仪</w:t>
            </w:r>
            <w:r>
              <w:rPr>
                <w:rFonts w:ascii="宋体" w:hAnsi="宋体"/>
              </w:rPr>
              <w:t>1</w:t>
            </w:r>
            <w:r>
              <w:rPr>
                <w:rFonts w:hint="eastAsia" w:ascii="宋体" w:hAnsi="宋体"/>
              </w:rPr>
              <w:t>台、听觉</w:t>
            </w:r>
            <w:r>
              <w:rPr>
                <w:rFonts w:ascii="宋体" w:hAnsi="宋体"/>
              </w:rPr>
              <w:t>脑干</w:t>
            </w:r>
            <w:r>
              <w:rPr>
                <w:rFonts w:hint="eastAsia" w:ascii="宋体" w:hAnsi="宋体"/>
              </w:rPr>
              <w:t>诱发</w:t>
            </w:r>
            <w:r>
              <w:rPr>
                <w:rFonts w:ascii="宋体" w:hAnsi="宋体"/>
              </w:rPr>
              <w:t>电位仪1</w:t>
            </w:r>
            <w:r>
              <w:rPr>
                <w:rFonts w:hint="eastAsia" w:ascii="宋体" w:hAnsi="宋体"/>
              </w:rPr>
              <w:t>台、</w:t>
            </w:r>
            <w:r>
              <w:rPr>
                <w:rFonts w:ascii="宋体" w:hAnsi="宋体"/>
              </w:rPr>
              <w:t>睡眠监测</w:t>
            </w:r>
            <w:r>
              <w:rPr>
                <w:rFonts w:hint="eastAsia" w:ascii="宋体" w:hAnsi="宋体"/>
              </w:rPr>
              <w:t>仪</w:t>
            </w:r>
            <w:r>
              <w:rPr>
                <w:rFonts w:ascii="宋体" w:hAnsi="宋体"/>
              </w:rPr>
              <w:t>1</w:t>
            </w:r>
            <w:r>
              <w:rPr>
                <w:rFonts w:hint="eastAsia" w:ascii="宋体" w:hAnsi="宋体"/>
              </w:rPr>
              <w:t>台。</w:t>
            </w:r>
          </w:p>
          <w:p w14:paraId="00815316">
            <w:pPr>
              <w:spacing w:line="276" w:lineRule="auto"/>
              <w:rPr>
                <w:rFonts w:ascii="宋体" w:hAnsi="宋体"/>
              </w:rPr>
            </w:pPr>
            <w:r>
              <w:rPr>
                <w:rFonts w:ascii="宋体" w:hAnsi="宋体"/>
              </w:rPr>
              <w:t>5</w:t>
            </w:r>
            <w:r>
              <w:rPr>
                <w:rFonts w:hint="eastAsia" w:ascii="宋体" w:hAnsi="宋体"/>
              </w:rPr>
              <w:t>、</w:t>
            </w:r>
            <w:r>
              <w:rPr>
                <w:rFonts w:ascii="宋体" w:hAnsi="宋体"/>
              </w:rPr>
              <w:t>统计分析模块</w:t>
            </w:r>
            <w:r>
              <w:rPr>
                <w:rFonts w:hint="eastAsia" w:ascii="宋体" w:hAnsi="宋体"/>
              </w:rPr>
              <w:t>：</w:t>
            </w:r>
            <w:r>
              <w:rPr>
                <w:rFonts w:ascii="宋体" w:hAnsi="宋体"/>
              </w:rPr>
              <w:cr/>
            </w:r>
            <w:r>
              <w:rPr>
                <w:rFonts w:ascii="宋体" w:hAnsi="宋体"/>
              </w:rPr>
              <w:t>5.1科室工作量统计：统计指定期间内各个科室工作量数据。</w:t>
            </w:r>
            <w:r>
              <w:rPr>
                <w:rFonts w:ascii="宋体" w:hAnsi="宋体"/>
              </w:rPr>
              <w:cr/>
            </w:r>
            <w:r>
              <w:rPr>
                <w:rFonts w:ascii="宋体" w:hAnsi="宋体"/>
              </w:rPr>
              <w:t>5.2分项工作量统计：统计指定期间内各个检查单项完成量数量。</w:t>
            </w:r>
            <w:r>
              <w:rPr>
                <w:rFonts w:ascii="宋体" w:hAnsi="宋体"/>
              </w:rPr>
              <w:cr/>
            </w:r>
            <w:r>
              <w:rPr>
                <w:rFonts w:ascii="宋体" w:hAnsi="宋体"/>
              </w:rPr>
              <w:t>5.3技师工作量统计：统计指定期间内各个技师实际完成的各检查单项数量。</w:t>
            </w:r>
            <w:r>
              <w:rPr>
                <w:rFonts w:ascii="宋体" w:hAnsi="宋体"/>
              </w:rPr>
              <w:cr/>
            </w:r>
            <w:r>
              <w:rPr>
                <w:rFonts w:ascii="宋体" w:hAnsi="宋体"/>
              </w:rPr>
              <w:t>6</w:t>
            </w:r>
            <w:r>
              <w:rPr>
                <w:rFonts w:hint="eastAsia" w:ascii="宋体" w:hAnsi="宋体"/>
              </w:rPr>
              <w:t>、</w:t>
            </w:r>
            <w:r>
              <w:rPr>
                <w:rFonts w:ascii="宋体" w:hAnsi="宋体"/>
              </w:rPr>
              <w:t>技术指标</w:t>
            </w:r>
            <w:r>
              <w:rPr>
                <w:rFonts w:hint="eastAsia" w:ascii="宋体" w:hAnsi="宋体"/>
              </w:rPr>
              <w:t>：</w:t>
            </w:r>
            <w:r>
              <w:rPr>
                <w:rFonts w:ascii="宋体" w:hAnsi="宋体"/>
              </w:rPr>
              <w:cr/>
            </w:r>
            <w:r>
              <w:rPr>
                <w:rFonts w:ascii="宋体" w:hAnsi="宋体"/>
              </w:rPr>
              <w:t>6.1采用C/S架构的.Net平台C#开发语言</w:t>
            </w:r>
            <w:r>
              <w:rPr>
                <w:rFonts w:ascii="宋体" w:hAnsi="宋体"/>
              </w:rPr>
              <w:cr/>
            </w:r>
            <w:r>
              <w:rPr>
                <w:rFonts w:ascii="宋体" w:hAnsi="宋体"/>
              </w:rPr>
              <w:t>6.2采用SQL Server数据库平台</w:t>
            </w:r>
            <w:r>
              <w:rPr>
                <w:rFonts w:ascii="宋体" w:hAnsi="宋体"/>
              </w:rPr>
              <w:cr/>
            </w:r>
            <w:r>
              <w:rPr>
                <w:rFonts w:hint="eastAsia" w:ascii="宋体" w:hAnsi="宋体"/>
              </w:rPr>
              <w:t>7、</w:t>
            </w:r>
            <w:r>
              <w:rPr>
                <w:rFonts w:ascii="宋体" w:hAnsi="宋体"/>
              </w:rPr>
              <w:t>实现与门诊系统的病人基本信息与检查申请单信息的数据同步。</w:t>
            </w:r>
            <w:r>
              <w:rPr>
                <w:rFonts w:ascii="宋体" w:hAnsi="宋体"/>
              </w:rPr>
              <w:cr/>
            </w:r>
            <w:r>
              <w:rPr>
                <w:rFonts w:ascii="宋体" w:hAnsi="宋体"/>
              </w:rPr>
              <w:t>8</w:t>
            </w:r>
            <w:r>
              <w:rPr>
                <w:rFonts w:hint="eastAsia" w:ascii="宋体" w:hAnsi="宋体"/>
              </w:rPr>
              <w:t>、实现与住院系统的病人基本信息与检查申请单信息的数据同步。</w:t>
            </w:r>
            <w:r>
              <w:rPr>
                <w:rFonts w:ascii="宋体" w:hAnsi="宋体"/>
              </w:rPr>
              <w:cr/>
            </w:r>
            <w:r>
              <w:rPr>
                <w:rFonts w:hint="eastAsia" w:ascii="宋体" w:hAnsi="宋体"/>
              </w:rPr>
              <w:t>（二）配置</w:t>
            </w:r>
            <w:r>
              <w:rPr>
                <w:rFonts w:ascii="宋体" w:hAnsi="宋体"/>
              </w:rPr>
              <w:t>要求</w:t>
            </w:r>
          </w:p>
          <w:p w14:paraId="7BD20B32">
            <w:pPr>
              <w:spacing w:line="276" w:lineRule="auto"/>
              <w:rPr>
                <w:rFonts w:ascii="宋体" w:hAnsi="宋体"/>
              </w:rPr>
            </w:pPr>
            <w:r>
              <w:rPr>
                <w:rFonts w:hint="eastAsia" w:ascii="宋体" w:hAnsi="宋体"/>
              </w:rPr>
              <w:t>1、</w:t>
            </w:r>
            <w:r>
              <w:rPr>
                <w:rFonts w:hint="eastAsia"/>
                <w:bCs/>
                <w:szCs w:val="21"/>
              </w:rPr>
              <w:t>耳鼻咽喉头颈外科信息系统</w:t>
            </w:r>
            <w:r>
              <w:rPr>
                <w:rFonts w:hint="eastAsia" w:ascii="宋体" w:hAnsi="宋体"/>
              </w:rPr>
              <w:t>：1套</w:t>
            </w:r>
          </w:p>
          <w:p w14:paraId="0AB075FB">
            <w:pPr>
              <w:spacing w:line="276" w:lineRule="auto"/>
              <w:rPr>
                <w:rFonts w:ascii="宋体" w:hAnsi="宋体"/>
              </w:rPr>
            </w:pPr>
            <w:r>
              <w:rPr>
                <w:rFonts w:ascii="宋体" w:hAnsi="宋体"/>
              </w:rPr>
              <w:t>2</w:t>
            </w:r>
            <w:r>
              <w:rPr>
                <w:rFonts w:hint="eastAsia" w:ascii="宋体" w:hAnsi="宋体"/>
              </w:rPr>
              <w:t>、数据</w:t>
            </w:r>
            <w:r>
              <w:rPr>
                <w:rFonts w:ascii="宋体" w:hAnsi="宋体"/>
              </w:rPr>
              <w:t>服务器：</w:t>
            </w:r>
            <w:r>
              <w:rPr>
                <w:rFonts w:hint="eastAsia" w:ascii="宋体" w:hAnsi="宋体"/>
              </w:rPr>
              <w:t>1台</w:t>
            </w:r>
          </w:p>
          <w:p w14:paraId="6F49FF27"/>
        </w:tc>
      </w:tr>
      <w:tr w14:paraId="609E4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2" w:hRule="atLeast"/>
        </w:trPr>
        <w:tc>
          <w:tcPr>
            <w:tcW w:w="451" w:type="dxa"/>
          </w:tcPr>
          <w:p w14:paraId="05F36790">
            <w:pPr>
              <w:jc w:val="center"/>
              <w:rPr>
                <w:rFonts w:ascii="宋体" w:hAnsi="宋体" w:cs="宋体"/>
                <w:kern w:val="0"/>
                <w:szCs w:val="21"/>
              </w:rPr>
            </w:pPr>
            <w:r>
              <w:rPr>
                <w:rFonts w:hint="eastAsia" w:ascii="宋体" w:hAnsi="宋体" w:cs="宋体"/>
                <w:kern w:val="0"/>
                <w:szCs w:val="21"/>
              </w:rPr>
              <w:t>商务需求</w:t>
            </w:r>
          </w:p>
        </w:tc>
        <w:tc>
          <w:tcPr>
            <w:tcW w:w="9265" w:type="dxa"/>
            <w:gridSpan w:val="4"/>
          </w:tcPr>
          <w:p w14:paraId="02EC6A30">
            <w:r>
              <w:rPr>
                <w:rFonts w:hint="eastAsia"/>
              </w:rPr>
              <w:t>注意：提供项目服务期限（完成期限）、项目进度安排、付款方式、验收要求、培训要求、售后服务要求</w:t>
            </w:r>
          </w:p>
          <w:p w14:paraId="463525DC"/>
          <w:p w14:paraId="7B7102C2">
            <w:pPr>
              <w:numPr>
                <w:ilvl w:val="0"/>
                <w:numId w:val="1"/>
              </w:numPr>
              <w:rPr>
                <w:rFonts w:ascii="宋体" w:hAnsi="宋体"/>
                <w:szCs w:val="21"/>
              </w:rPr>
            </w:pPr>
            <w:r>
              <w:rPr>
                <w:rFonts w:hint="eastAsia" w:ascii="宋体" w:hAnsi="宋体"/>
                <w:szCs w:val="21"/>
              </w:rPr>
              <w:t>服务期限（完成期限）：项目验收通过后</w:t>
            </w:r>
            <w:r>
              <w:rPr>
                <w:rFonts w:hint="eastAsia" w:ascii="宋体" w:hAnsi="宋体" w:cs="宋体"/>
                <w:color w:val="000000"/>
                <w:kern w:val="0"/>
                <w:szCs w:val="21"/>
              </w:rPr>
              <w:t>一年内为免费维保期</w:t>
            </w:r>
          </w:p>
          <w:p w14:paraId="4D018F23">
            <w:pPr>
              <w:numPr>
                <w:ilvl w:val="0"/>
                <w:numId w:val="1"/>
              </w:numPr>
              <w:rPr>
                <w:rFonts w:ascii="宋体" w:hAnsi="宋体"/>
                <w:szCs w:val="21"/>
                <w:highlight w:val="yellow"/>
              </w:rPr>
            </w:pPr>
            <w:r>
              <w:rPr>
                <w:rFonts w:hint="eastAsia" w:ascii="宋体" w:hAnsi="宋体"/>
                <w:szCs w:val="21"/>
                <w:highlight w:val="yellow"/>
              </w:rPr>
              <w:t>付款方式：</w:t>
            </w:r>
            <w:r>
              <w:rPr>
                <w:rFonts w:hint="eastAsia" w:asciiTheme="minorEastAsia" w:hAnsiTheme="minorEastAsia" w:eastAsiaTheme="minorEastAsia"/>
                <w:szCs w:val="21"/>
              </w:rPr>
              <w:t>合同签订后，乙方须向甲方支付合同含税总金额的10%作为履约保证金转入医院指定账户并提供转账凭证；乙方向甲方提供质保金转账凭证及相应增值税发票后，甲方向乙方支付合同含税总金额的30%；验收合格之后,乙方提供相应增值税发票，甲方付款合同总金额的70%；履约保证金在软件验收通过并正常使用一年之后无息返还。</w:t>
            </w:r>
          </w:p>
          <w:p w14:paraId="69051C3D">
            <w:pPr>
              <w:numPr>
                <w:ilvl w:val="0"/>
                <w:numId w:val="1"/>
              </w:numPr>
              <w:rPr>
                <w:rFonts w:ascii="宋体" w:hAnsi="宋体" w:cs="宋体"/>
                <w:color w:val="000000"/>
                <w:kern w:val="0"/>
                <w:szCs w:val="21"/>
              </w:rPr>
            </w:pPr>
            <w:r>
              <w:rPr>
                <w:rFonts w:hint="eastAsia" w:ascii="宋体" w:hAnsi="宋体" w:cs="宋体"/>
                <w:color w:val="000000"/>
                <w:kern w:val="0"/>
                <w:szCs w:val="21"/>
              </w:rPr>
              <w:t xml:space="preserve">维修及服务响应时间：对用户的售后服务要求应在2小时内响应，远程协助无法解决的工程师于24小时内到达现场给出解决方案。 </w:t>
            </w:r>
          </w:p>
          <w:p w14:paraId="4980ADD6">
            <w:pPr>
              <w:numPr>
                <w:ilvl w:val="0"/>
                <w:numId w:val="1"/>
              </w:numPr>
              <w:rPr>
                <w:rFonts w:ascii="宋体" w:hAnsi="宋体" w:cs="宋体"/>
                <w:color w:val="000000"/>
                <w:kern w:val="0"/>
                <w:szCs w:val="21"/>
              </w:rPr>
            </w:pPr>
            <w:r>
              <w:rPr>
                <w:rFonts w:hint="eastAsia" w:ascii="宋体" w:hAnsi="宋体" w:cs="宋体"/>
                <w:color w:val="000000"/>
                <w:kern w:val="0"/>
                <w:szCs w:val="21"/>
              </w:rPr>
              <w:t>在保修期内出现问题，所产生的维修费用（包括零部件费用、运返费用等费用)均由供应商承担。</w:t>
            </w:r>
          </w:p>
          <w:p w14:paraId="0F6B7EB5">
            <w:pPr>
              <w:numPr>
                <w:ilvl w:val="0"/>
                <w:numId w:val="1"/>
              </w:numPr>
              <w:rPr>
                <w:rFonts w:ascii="宋体" w:hAnsi="宋体" w:cs="宋体"/>
                <w:color w:val="000000"/>
                <w:kern w:val="0"/>
                <w:szCs w:val="21"/>
              </w:rPr>
            </w:pPr>
            <w:r>
              <w:rPr>
                <w:rFonts w:hint="eastAsia" w:ascii="宋体" w:hAnsi="宋体" w:cs="宋体"/>
                <w:color w:val="000000"/>
                <w:kern w:val="0"/>
                <w:szCs w:val="21"/>
              </w:rPr>
              <w:t>技术培训：卖方应免费对买方操作、维修人员进行一定时期的正规的整套系统操作、维护保养等内容的技术培训。</w:t>
            </w:r>
          </w:p>
          <w:p w14:paraId="48F3C4EB">
            <w:pPr>
              <w:numPr>
                <w:ilvl w:val="0"/>
                <w:numId w:val="1"/>
              </w:numPr>
            </w:pPr>
            <w:r>
              <w:rPr>
                <w:rFonts w:hint="eastAsia" w:ascii="宋体" w:hAnsi="宋体" w:cs="宋体"/>
                <w:color w:val="000000"/>
                <w:kern w:val="0"/>
                <w:szCs w:val="21"/>
              </w:rPr>
              <w:t>设备验收：设备安装后，经过一定时期的试运行，设备的各项性能指标均能达到招标文件的要求，双方即签署验收文件，设备被视为验收通过。</w:t>
            </w:r>
          </w:p>
        </w:tc>
      </w:tr>
      <w:tr w14:paraId="42049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2" w:hRule="atLeast"/>
        </w:trPr>
        <w:tc>
          <w:tcPr>
            <w:tcW w:w="451" w:type="dxa"/>
          </w:tcPr>
          <w:p w14:paraId="639BB3B2">
            <w:pPr>
              <w:jc w:val="center"/>
              <w:rPr>
                <w:rFonts w:ascii="宋体" w:hAnsi="宋体" w:cs="宋体"/>
                <w:kern w:val="0"/>
                <w:szCs w:val="21"/>
              </w:rPr>
            </w:pPr>
            <w:r>
              <w:rPr>
                <w:rFonts w:ascii="宋体" w:hAnsi="宋体" w:cs="宋体"/>
                <w:kern w:val="0"/>
                <w:szCs w:val="21"/>
              </w:rPr>
              <w:t>评标信息</w:t>
            </w:r>
          </w:p>
        </w:tc>
        <w:tc>
          <w:tcPr>
            <w:tcW w:w="9265" w:type="dxa"/>
            <w:gridSpan w:val="4"/>
          </w:tcPr>
          <w:tbl>
            <w:tblPr>
              <w:tblStyle w:val="11"/>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8"/>
              <w:gridCol w:w="695"/>
              <w:gridCol w:w="2226"/>
              <w:gridCol w:w="993"/>
              <w:gridCol w:w="1134"/>
              <w:gridCol w:w="3153"/>
            </w:tblGrid>
            <w:tr w14:paraId="2E8D1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tcBorders>
                    <w:top w:val="single" w:color="auto" w:sz="4" w:space="0"/>
                    <w:left w:val="single" w:color="auto" w:sz="4" w:space="0"/>
                    <w:bottom w:val="single" w:color="auto" w:sz="4" w:space="0"/>
                    <w:right w:val="single" w:color="auto" w:sz="4" w:space="0"/>
                  </w:tcBorders>
                </w:tcPr>
                <w:p w14:paraId="309265C7">
                  <w:pPr>
                    <w:jc w:val="center"/>
                    <w:rPr>
                      <w:rFonts w:ascii="宋体" w:hAnsi="宋体"/>
                      <w:szCs w:val="21"/>
                    </w:rPr>
                  </w:pPr>
                  <w:r>
                    <w:rPr>
                      <w:rFonts w:hint="eastAsia" w:ascii="宋体" w:hAnsi="宋体"/>
                      <w:szCs w:val="21"/>
                    </w:rPr>
                    <w:t>序号</w:t>
                  </w:r>
                </w:p>
              </w:tc>
              <w:tc>
                <w:tcPr>
                  <w:tcW w:w="5048" w:type="dxa"/>
                  <w:gridSpan w:val="4"/>
                  <w:tcBorders>
                    <w:top w:val="single" w:color="auto" w:sz="4" w:space="0"/>
                    <w:left w:val="single" w:color="auto" w:sz="4" w:space="0"/>
                    <w:bottom w:val="single" w:color="auto" w:sz="4" w:space="0"/>
                    <w:right w:val="single" w:color="auto" w:sz="4" w:space="0"/>
                  </w:tcBorders>
                </w:tcPr>
                <w:p w14:paraId="624379AB">
                  <w:pPr>
                    <w:jc w:val="center"/>
                    <w:rPr>
                      <w:rFonts w:ascii="宋体" w:hAnsi="宋体"/>
                      <w:szCs w:val="21"/>
                    </w:rPr>
                  </w:pPr>
                  <w:commentRangeStart w:id="0"/>
                  <w:r>
                    <w:rPr>
                      <w:rFonts w:hint="eastAsia" w:ascii="宋体" w:hAnsi="宋体"/>
                      <w:szCs w:val="21"/>
                    </w:rPr>
                    <w:t>评分项</w:t>
                  </w:r>
                  <w:commentRangeEnd w:id="0"/>
                  <w:r>
                    <w:commentReference w:id="0"/>
                  </w:r>
                </w:p>
              </w:tc>
              <w:tc>
                <w:tcPr>
                  <w:tcW w:w="3153" w:type="dxa"/>
                  <w:tcBorders>
                    <w:top w:val="single" w:color="auto" w:sz="4" w:space="0"/>
                    <w:left w:val="single" w:color="auto" w:sz="4" w:space="0"/>
                    <w:bottom w:val="single" w:color="auto" w:sz="4" w:space="0"/>
                    <w:right w:val="single" w:color="auto" w:sz="4" w:space="0"/>
                  </w:tcBorders>
                </w:tcPr>
                <w:p w14:paraId="56E5CFAD">
                  <w:pPr>
                    <w:jc w:val="center"/>
                    <w:rPr>
                      <w:rFonts w:ascii="宋体" w:hAnsi="宋体"/>
                      <w:szCs w:val="21"/>
                    </w:rPr>
                  </w:pPr>
                  <w:r>
                    <w:rPr>
                      <w:rFonts w:hint="eastAsia" w:ascii="宋体" w:hAnsi="宋体"/>
                      <w:szCs w:val="21"/>
                    </w:rPr>
                    <w:t>权重</w:t>
                  </w:r>
                </w:p>
              </w:tc>
            </w:tr>
            <w:tr w14:paraId="21D3D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tcBorders>
                    <w:top w:val="single" w:color="auto" w:sz="4" w:space="0"/>
                    <w:left w:val="single" w:color="auto" w:sz="4" w:space="0"/>
                    <w:bottom w:val="single" w:color="auto" w:sz="4" w:space="0"/>
                    <w:right w:val="single" w:color="auto" w:sz="4" w:space="0"/>
                  </w:tcBorders>
                </w:tcPr>
                <w:p w14:paraId="2A1A15F9">
                  <w:pPr>
                    <w:jc w:val="center"/>
                    <w:rPr>
                      <w:rFonts w:ascii="宋体" w:hAnsi="宋体"/>
                      <w:szCs w:val="21"/>
                    </w:rPr>
                  </w:pPr>
                  <w:r>
                    <w:rPr>
                      <w:rFonts w:ascii="宋体" w:hAnsi="宋体"/>
                      <w:szCs w:val="21"/>
                    </w:rPr>
                    <w:t>1</w:t>
                  </w:r>
                </w:p>
              </w:tc>
              <w:tc>
                <w:tcPr>
                  <w:tcW w:w="5048" w:type="dxa"/>
                  <w:gridSpan w:val="4"/>
                  <w:tcBorders>
                    <w:top w:val="single" w:color="auto" w:sz="4" w:space="0"/>
                    <w:left w:val="single" w:color="auto" w:sz="4" w:space="0"/>
                    <w:bottom w:val="single" w:color="auto" w:sz="4" w:space="0"/>
                    <w:right w:val="single" w:color="auto" w:sz="4" w:space="0"/>
                  </w:tcBorders>
                </w:tcPr>
                <w:p w14:paraId="47FF3A22">
                  <w:pPr>
                    <w:jc w:val="center"/>
                    <w:rPr>
                      <w:rFonts w:ascii="宋体" w:hAnsi="宋体"/>
                      <w:szCs w:val="21"/>
                    </w:rPr>
                  </w:pPr>
                  <w:r>
                    <w:rPr>
                      <w:rFonts w:hint="eastAsia" w:ascii="宋体" w:hAnsi="宋体"/>
                      <w:szCs w:val="21"/>
                    </w:rPr>
                    <w:t>价格</w:t>
                  </w:r>
                </w:p>
              </w:tc>
              <w:tc>
                <w:tcPr>
                  <w:tcW w:w="3153" w:type="dxa"/>
                  <w:tcBorders>
                    <w:top w:val="single" w:color="auto" w:sz="4" w:space="0"/>
                    <w:left w:val="single" w:color="auto" w:sz="4" w:space="0"/>
                    <w:bottom w:val="single" w:color="auto" w:sz="4" w:space="0"/>
                    <w:right w:val="single" w:color="auto" w:sz="4" w:space="0"/>
                  </w:tcBorders>
                </w:tcPr>
                <w:p w14:paraId="7C79F5BE">
                  <w:pPr>
                    <w:jc w:val="center"/>
                    <w:rPr>
                      <w:rFonts w:ascii="宋体" w:hAnsi="宋体"/>
                      <w:szCs w:val="21"/>
                    </w:rPr>
                  </w:pPr>
                  <w:r>
                    <w:rPr>
                      <w:rFonts w:hint="eastAsia" w:ascii="宋体" w:hAnsi="宋体"/>
                      <w:szCs w:val="21"/>
                    </w:rPr>
                    <w:t>3</w:t>
                  </w:r>
                  <w:r>
                    <w:rPr>
                      <w:rFonts w:ascii="宋体" w:hAnsi="宋体"/>
                      <w:szCs w:val="21"/>
                    </w:rPr>
                    <w:t>0</w:t>
                  </w:r>
                </w:p>
              </w:tc>
            </w:tr>
            <w:tr w14:paraId="143DC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tcBorders>
                    <w:top w:val="single" w:color="auto" w:sz="4" w:space="0"/>
                    <w:left w:val="single" w:color="auto" w:sz="4" w:space="0"/>
                    <w:bottom w:val="single" w:color="auto" w:sz="4" w:space="0"/>
                    <w:right w:val="single" w:color="auto" w:sz="4" w:space="0"/>
                  </w:tcBorders>
                </w:tcPr>
                <w:p w14:paraId="7E02B48A">
                  <w:pPr>
                    <w:jc w:val="center"/>
                    <w:rPr>
                      <w:rFonts w:ascii="宋体" w:hAnsi="宋体"/>
                      <w:szCs w:val="21"/>
                    </w:rPr>
                  </w:pPr>
                  <w:r>
                    <w:rPr>
                      <w:rFonts w:ascii="宋体" w:hAnsi="宋体"/>
                      <w:szCs w:val="21"/>
                    </w:rPr>
                    <w:t>2</w:t>
                  </w:r>
                </w:p>
              </w:tc>
              <w:tc>
                <w:tcPr>
                  <w:tcW w:w="5048" w:type="dxa"/>
                  <w:gridSpan w:val="4"/>
                  <w:tcBorders>
                    <w:top w:val="single" w:color="auto" w:sz="4" w:space="0"/>
                    <w:left w:val="single" w:color="auto" w:sz="4" w:space="0"/>
                    <w:bottom w:val="single" w:color="auto" w:sz="4" w:space="0"/>
                    <w:right w:val="single" w:color="auto" w:sz="4" w:space="0"/>
                  </w:tcBorders>
                </w:tcPr>
                <w:p w14:paraId="442FC03C">
                  <w:pPr>
                    <w:jc w:val="center"/>
                    <w:rPr>
                      <w:rFonts w:ascii="宋体" w:hAnsi="宋体"/>
                      <w:szCs w:val="21"/>
                    </w:rPr>
                  </w:pPr>
                  <w:r>
                    <w:rPr>
                      <w:rFonts w:hint="eastAsia" w:ascii="宋体" w:hAnsi="宋体"/>
                      <w:szCs w:val="21"/>
                    </w:rPr>
                    <w:t>技术部分</w:t>
                  </w:r>
                </w:p>
              </w:tc>
              <w:tc>
                <w:tcPr>
                  <w:tcW w:w="3153" w:type="dxa"/>
                  <w:tcBorders>
                    <w:top w:val="single" w:color="auto" w:sz="4" w:space="0"/>
                    <w:left w:val="single" w:color="auto" w:sz="4" w:space="0"/>
                    <w:bottom w:val="single" w:color="auto" w:sz="4" w:space="0"/>
                    <w:right w:val="single" w:color="auto" w:sz="4" w:space="0"/>
                  </w:tcBorders>
                </w:tcPr>
                <w:p w14:paraId="1F614D44">
                  <w:pPr>
                    <w:jc w:val="center"/>
                    <w:rPr>
                      <w:rFonts w:ascii="宋体" w:hAnsi="宋体"/>
                      <w:szCs w:val="21"/>
                    </w:rPr>
                  </w:pPr>
                  <w:r>
                    <w:rPr>
                      <w:rFonts w:hint="eastAsia" w:ascii="宋体" w:hAnsi="宋体"/>
                      <w:szCs w:val="21"/>
                    </w:rPr>
                    <w:t>5</w:t>
                  </w:r>
                  <w:r>
                    <w:rPr>
                      <w:rFonts w:ascii="宋体" w:hAnsi="宋体"/>
                      <w:szCs w:val="21"/>
                    </w:rPr>
                    <w:t>5</w:t>
                  </w:r>
                </w:p>
              </w:tc>
            </w:tr>
            <w:tr w14:paraId="760E3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838" w:type="dxa"/>
                  <w:vMerge w:val="restart"/>
                  <w:tcBorders>
                    <w:top w:val="single" w:color="auto" w:sz="4" w:space="0"/>
                    <w:left w:val="single" w:color="auto" w:sz="4" w:space="0"/>
                    <w:right w:val="single" w:color="auto" w:sz="4" w:space="0"/>
                  </w:tcBorders>
                </w:tcPr>
                <w:p w14:paraId="5B4489D5">
                  <w:pPr>
                    <w:jc w:val="center"/>
                    <w:rPr>
                      <w:rFonts w:ascii="宋体" w:hAnsi="宋体"/>
                      <w:szCs w:val="21"/>
                    </w:rPr>
                  </w:pPr>
                </w:p>
              </w:tc>
              <w:tc>
                <w:tcPr>
                  <w:tcW w:w="695" w:type="dxa"/>
                  <w:tcBorders>
                    <w:top w:val="single" w:color="auto" w:sz="4" w:space="0"/>
                    <w:left w:val="single" w:color="auto" w:sz="4" w:space="0"/>
                    <w:bottom w:val="single" w:color="auto" w:sz="4" w:space="0"/>
                    <w:right w:val="single" w:color="auto" w:sz="4" w:space="0"/>
                  </w:tcBorders>
                </w:tcPr>
                <w:p w14:paraId="1CC0567D">
                  <w:pPr>
                    <w:jc w:val="center"/>
                    <w:rPr>
                      <w:rFonts w:ascii="宋体" w:hAnsi="宋体"/>
                      <w:szCs w:val="21"/>
                    </w:rPr>
                  </w:pPr>
                  <w:r>
                    <w:rPr>
                      <w:rFonts w:hint="eastAsia" w:ascii="宋体" w:hAnsi="宋体"/>
                      <w:szCs w:val="21"/>
                    </w:rPr>
                    <w:t>序号</w:t>
                  </w:r>
                </w:p>
              </w:tc>
              <w:tc>
                <w:tcPr>
                  <w:tcW w:w="2226" w:type="dxa"/>
                  <w:tcBorders>
                    <w:top w:val="single" w:color="auto" w:sz="4" w:space="0"/>
                    <w:left w:val="single" w:color="auto" w:sz="4" w:space="0"/>
                    <w:bottom w:val="single" w:color="auto" w:sz="4" w:space="0"/>
                    <w:right w:val="single" w:color="auto" w:sz="4" w:space="0"/>
                  </w:tcBorders>
                </w:tcPr>
                <w:p w14:paraId="07808629">
                  <w:pPr>
                    <w:jc w:val="center"/>
                    <w:rPr>
                      <w:rFonts w:ascii="宋体" w:hAnsi="宋体"/>
                      <w:szCs w:val="21"/>
                    </w:rPr>
                  </w:pPr>
                  <w:r>
                    <w:rPr>
                      <w:rFonts w:hint="eastAsia" w:ascii="宋体" w:hAnsi="宋体"/>
                      <w:szCs w:val="21"/>
                    </w:rPr>
                    <w:t>评分因素</w:t>
                  </w:r>
                </w:p>
              </w:tc>
              <w:tc>
                <w:tcPr>
                  <w:tcW w:w="993" w:type="dxa"/>
                  <w:tcBorders>
                    <w:top w:val="single" w:color="auto" w:sz="4" w:space="0"/>
                    <w:left w:val="single" w:color="auto" w:sz="4" w:space="0"/>
                    <w:bottom w:val="single" w:color="auto" w:sz="4" w:space="0"/>
                    <w:right w:val="single" w:color="auto" w:sz="4" w:space="0"/>
                  </w:tcBorders>
                </w:tcPr>
                <w:p w14:paraId="101C2E25">
                  <w:pPr>
                    <w:jc w:val="center"/>
                    <w:rPr>
                      <w:rFonts w:ascii="宋体" w:hAnsi="宋体"/>
                      <w:szCs w:val="21"/>
                    </w:rPr>
                  </w:pPr>
                  <w:r>
                    <w:rPr>
                      <w:rFonts w:hint="eastAsia" w:ascii="宋体" w:hAnsi="宋体"/>
                      <w:szCs w:val="21"/>
                    </w:rPr>
                    <w:t>权重</w:t>
                  </w:r>
                </w:p>
              </w:tc>
              <w:tc>
                <w:tcPr>
                  <w:tcW w:w="1134" w:type="dxa"/>
                  <w:tcBorders>
                    <w:top w:val="single" w:color="auto" w:sz="4" w:space="0"/>
                    <w:left w:val="single" w:color="auto" w:sz="4" w:space="0"/>
                    <w:bottom w:val="single" w:color="auto" w:sz="4" w:space="0"/>
                    <w:right w:val="single" w:color="auto" w:sz="4" w:space="0"/>
                  </w:tcBorders>
                </w:tcPr>
                <w:p w14:paraId="14EC4EED">
                  <w:pPr>
                    <w:jc w:val="center"/>
                    <w:rPr>
                      <w:rFonts w:ascii="宋体" w:hAnsi="宋体"/>
                      <w:szCs w:val="21"/>
                    </w:rPr>
                  </w:pPr>
                  <w:r>
                    <w:rPr>
                      <w:rFonts w:hint="eastAsia" w:ascii="宋体" w:hAnsi="宋体"/>
                      <w:szCs w:val="21"/>
                    </w:rPr>
                    <w:t>评分方式</w:t>
                  </w:r>
                </w:p>
              </w:tc>
              <w:tc>
                <w:tcPr>
                  <w:tcW w:w="3153" w:type="dxa"/>
                  <w:tcBorders>
                    <w:top w:val="single" w:color="auto" w:sz="4" w:space="0"/>
                    <w:left w:val="single" w:color="auto" w:sz="4" w:space="0"/>
                    <w:bottom w:val="single" w:color="auto" w:sz="4" w:space="0"/>
                    <w:right w:val="single" w:color="auto" w:sz="4" w:space="0"/>
                  </w:tcBorders>
                </w:tcPr>
                <w:p w14:paraId="4482F3EC">
                  <w:pPr>
                    <w:jc w:val="center"/>
                    <w:rPr>
                      <w:rFonts w:ascii="宋体" w:hAnsi="宋体"/>
                      <w:szCs w:val="21"/>
                    </w:rPr>
                  </w:pPr>
                  <w:r>
                    <w:rPr>
                      <w:rFonts w:hint="eastAsia" w:ascii="宋体" w:hAnsi="宋体"/>
                      <w:szCs w:val="21"/>
                    </w:rPr>
                    <w:t>评分准则</w:t>
                  </w:r>
                </w:p>
              </w:tc>
            </w:tr>
            <w:tr w14:paraId="5F96E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0" w:type="auto"/>
                  <w:vMerge w:val="continue"/>
                  <w:tcBorders>
                    <w:left w:val="single" w:color="auto" w:sz="4" w:space="0"/>
                    <w:right w:val="single" w:color="auto" w:sz="4" w:space="0"/>
                  </w:tcBorders>
                  <w:vAlign w:val="center"/>
                </w:tcPr>
                <w:p w14:paraId="05F572DD">
                  <w:pPr>
                    <w:widowControl/>
                    <w:jc w:val="left"/>
                    <w:rPr>
                      <w:rFonts w:ascii="宋体" w:hAnsi="宋体"/>
                      <w:szCs w:val="21"/>
                    </w:rPr>
                  </w:pPr>
                </w:p>
              </w:tc>
              <w:tc>
                <w:tcPr>
                  <w:tcW w:w="695" w:type="dxa"/>
                  <w:tcBorders>
                    <w:top w:val="single" w:color="auto" w:sz="4" w:space="0"/>
                    <w:left w:val="single" w:color="auto" w:sz="4" w:space="0"/>
                    <w:bottom w:val="single" w:color="auto" w:sz="4" w:space="0"/>
                    <w:right w:val="single" w:color="auto" w:sz="4" w:space="0"/>
                  </w:tcBorders>
                  <w:vAlign w:val="center"/>
                </w:tcPr>
                <w:p w14:paraId="49B543CD">
                  <w:pPr>
                    <w:jc w:val="center"/>
                    <w:rPr>
                      <w:rFonts w:ascii="宋体" w:hAnsi="宋体"/>
                      <w:szCs w:val="21"/>
                    </w:rPr>
                  </w:pPr>
                  <w:r>
                    <w:rPr>
                      <w:rFonts w:ascii="宋体" w:hAnsi="宋体"/>
                      <w:szCs w:val="21"/>
                    </w:rPr>
                    <w:t>1</w:t>
                  </w:r>
                </w:p>
              </w:tc>
              <w:tc>
                <w:tcPr>
                  <w:tcW w:w="2226" w:type="dxa"/>
                  <w:tcBorders>
                    <w:top w:val="single" w:color="auto" w:sz="4" w:space="0"/>
                    <w:left w:val="single" w:color="auto" w:sz="4" w:space="0"/>
                    <w:bottom w:val="single" w:color="auto" w:sz="4" w:space="0"/>
                    <w:right w:val="single" w:color="auto" w:sz="4" w:space="0"/>
                  </w:tcBorders>
                  <w:vAlign w:val="center"/>
                </w:tcPr>
                <w:p w14:paraId="316EEA46">
                  <w:pPr>
                    <w:jc w:val="center"/>
                    <w:rPr>
                      <w:rFonts w:ascii="宋体" w:hAnsi="宋体"/>
                      <w:szCs w:val="21"/>
                    </w:rPr>
                  </w:pPr>
                  <w:r>
                    <w:rPr>
                      <w:rFonts w:hint="eastAsia" w:asciiTheme="minorEastAsia" w:hAnsiTheme="minorEastAsia"/>
                      <w:szCs w:val="21"/>
                    </w:rPr>
                    <w:t>技术要求偏离情况</w:t>
                  </w:r>
                </w:p>
              </w:tc>
              <w:tc>
                <w:tcPr>
                  <w:tcW w:w="993" w:type="dxa"/>
                  <w:tcBorders>
                    <w:top w:val="single" w:color="auto" w:sz="4" w:space="0"/>
                    <w:left w:val="single" w:color="auto" w:sz="4" w:space="0"/>
                    <w:bottom w:val="single" w:color="auto" w:sz="4" w:space="0"/>
                    <w:right w:val="single" w:color="auto" w:sz="4" w:space="0"/>
                  </w:tcBorders>
                  <w:vAlign w:val="center"/>
                </w:tcPr>
                <w:p w14:paraId="55DC009B">
                  <w:pPr>
                    <w:jc w:val="center"/>
                    <w:rPr>
                      <w:rFonts w:ascii="宋体" w:hAnsi="宋体"/>
                      <w:szCs w:val="21"/>
                    </w:rPr>
                  </w:pPr>
                  <w:r>
                    <w:rPr>
                      <w:rFonts w:hint="eastAsia" w:asciiTheme="minorEastAsia" w:hAnsiTheme="minorEastAsia"/>
                      <w:szCs w:val="21"/>
                    </w:rPr>
                    <w:t>4</w:t>
                  </w:r>
                  <w:r>
                    <w:rPr>
                      <w:rFonts w:asciiTheme="minorEastAsia" w:hAnsiTheme="minorEastAsia"/>
                      <w:szCs w:val="21"/>
                    </w:rPr>
                    <w:t>5</w:t>
                  </w:r>
                </w:p>
              </w:tc>
              <w:tc>
                <w:tcPr>
                  <w:tcW w:w="1134" w:type="dxa"/>
                  <w:tcBorders>
                    <w:top w:val="single" w:color="auto" w:sz="4" w:space="0"/>
                    <w:left w:val="single" w:color="auto" w:sz="4" w:space="0"/>
                    <w:bottom w:val="single" w:color="auto" w:sz="4" w:space="0"/>
                    <w:right w:val="single" w:color="auto" w:sz="4" w:space="0"/>
                  </w:tcBorders>
                  <w:vAlign w:val="center"/>
                </w:tcPr>
                <w:p w14:paraId="7AABC765">
                  <w:pPr>
                    <w:jc w:val="center"/>
                    <w:rPr>
                      <w:rFonts w:ascii="宋体" w:hAnsi="宋体"/>
                      <w:szCs w:val="21"/>
                    </w:rPr>
                  </w:pPr>
                  <w:r>
                    <w:rPr>
                      <w:rFonts w:hint="eastAsia" w:ascii="宋体" w:hAnsi="宋体"/>
                      <w:szCs w:val="21"/>
                    </w:rPr>
                    <w:t>专家打分</w:t>
                  </w:r>
                </w:p>
              </w:tc>
              <w:tc>
                <w:tcPr>
                  <w:tcW w:w="3153" w:type="dxa"/>
                  <w:tcBorders>
                    <w:top w:val="single" w:color="auto" w:sz="4" w:space="0"/>
                    <w:left w:val="single" w:color="auto" w:sz="4" w:space="0"/>
                    <w:bottom w:val="single" w:color="auto" w:sz="4" w:space="0"/>
                    <w:right w:val="single" w:color="auto" w:sz="4" w:space="0"/>
                  </w:tcBorders>
                  <w:vAlign w:val="center"/>
                </w:tcPr>
                <w:p w14:paraId="3EABBFDE">
                  <w:pPr>
                    <w:jc w:val="left"/>
                    <w:rPr>
                      <w:rFonts w:ascii="宋体" w:hAnsi="宋体"/>
                      <w:szCs w:val="21"/>
                    </w:rPr>
                  </w:pPr>
                  <w:r>
                    <w:rPr>
                      <w:rFonts w:hint="eastAsia" w:cs="宋体"/>
                      <w:szCs w:val="21"/>
                    </w:rPr>
                    <w:t>投标人应如实填写《技术要求偏离表》，评审委员会根据技术需求参数响应情况进行打分，各项技术参数指标及要求全部满足的得100分。“▲”所标参数为重点参数，每负偏离1项扣10分，其他一般参数每负偏离1项扣</w:t>
                  </w:r>
                  <w:r>
                    <w:rPr>
                      <w:rFonts w:cs="宋体"/>
                      <w:szCs w:val="21"/>
                    </w:rPr>
                    <w:t>5</w:t>
                  </w:r>
                  <w:r>
                    <w:rPr>
                      <w:rFonts w:hint="eastAsia" w:cs="宋体"/>
                      <w:szCs w:val="21"/>
                    </w:rPr>
                    <w:t>分，扣至0分止</w:t>
                  </w:r>
                </w:p>
              </w:tc>
            </w:tr>
            <w:tr w14:paraId="7CC72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0" w:type="auto"/>
                  <w:vMerge w:val="continue"/>
                  <w:tcBorders>
                    <w:left w:val="single" w:color="auto" w:sz="4" w:space="0"/>
                    <w:right w:val="single" w:color="auto" w:sz="4" w:space="0"/>
                  </w:tcBorders>
                  <w:vAlign w:val="center"/>
                </w:tcPr>
                <w:p w14:paraId="6ED5E534">
                  <w:pPr>
                    <w:widowControl/>
                    <w:jc w:val="left"/>
                    <w:rPr>
                      <w:rFonts w:ascii="宋体" w:hAnsi="宋体"/>
                      <w:szCs w:val="21"/>
                    </w:rPr>
                  </w:pPr>
                </w:p>
              </w:tc>
              <w:tc>
                <w:tcPr>
                  <w:tcW w:w="695" w:type="dxa"/>
                  <w:tcBorders>
                    <w:top w:val="single" w:color="auto" w:sz="4" w:space="0"/>
                    <w:left w:val="single" w:color="auto" w:sz="4" w:space="0"/>
                    <w:bottom w:val="single" w:color="auto" w:sz="4" w:space="0"/>
                    <w:right w:val="single" w:color="auto" w:sz="4" w:space="0"/>
                  </w:tcBorders>
                  <w:vAlign w:val="center"/>
                </w:tcPr>
                <w:p w14:paraId="0B112543">
                  <w:pPr>
                    <w:jc w:val="center"/>
                    <w:rPr>
                      <w:rFonts w:ascii="宋体" w:hAnsi="宋体"/>
                      <w:szCs w:val="21"/>
                    </w:rPr>
                  </w:pPr>
                  <w:r>
                    <w:rPr>
                      <w:rFonts w:ascii="宋体" w:hAnsi="宋体"/>
                      <w:szCs w:val="21"/>
                    </w:rPr>
                    <w:t>2</w:t>
                  </w:r>
                </w:p>
              </w:tc>
              <w:tc>
                <w:tcPr>
                  <w:tcW w:w="2226" w:type="dxa"/>
                  <w:tcBorders>
                    <w:top w:val="single" w:color="auto" w:sz="4" w:space="0"/>
                    <w:left w:val="single" w:color="auto" w:sz="4" w:space="0"/>
                    <w:bottom w:val="single" w:color="auto" w:sz="4" w:space="0"/>
                    <w:right w:val="single" w:color="auto" w:sz="4" w:space="0"/>
                  </w:tcBorders>
                  <w:vAlign w:val="center"/>
                </w:tcPr>
                <w:p w14:paraId="0D707894">
                  <w:pPr>
                    <w:ind w:left="525" w:hanging="525" w:hangingChars="250"/>
                    <w:jc w:val="center"/>
                    <w:rPr>
                      <w:rFonts w:ascii="宋体" w:hAnsi="宋体"/>
                      <w:szCs w:val="21"/>
                    </w:rPr>
                  </w:pPr>
                  <w:r>
                    <w:rPr>
                      <w:rFonts w:hint="eastAsia" w:ascii="宋体" w:hAnsi="宋体"/>
                      <w:szCs w:val="21"/>
                    </w:rPr>
                    <w:t>软件产品测试报告</w:t>
                  </w:r>
                </w:p>
              </w:tc>
              <w:tc>
                <w:tcPr>
                  <w:tcW w:w="993" w:type="dxa"/>
                  <w:tcBorders>
                    <w:top w:val="single" w:color="auto" w:sz="4" w:space="0"/>
                    <w:left w:val="single" w:color="auto" w:sz="4" w:space="0"/>
                    <w:bottom w:val="single" w:color="auto" w:sz="4" w:space="0"/>
                    <w:right w:val="single" w:color="auto" w:sz="4" w:space="0"/>
                  </w:tcBorders>
                  <w:vAlign w:val="center"/>
                </w:tcPr>
                <w:p w14:paraId="6531239B">
                  <w:pPr>
                    <w:jc w:val="center"/>
                    <w:rPr>
                      <w:rFonts w:ascii="宋体" w:hAnsi="宋体"/>
                      <w:szCs w:val="21"/>
                    </w:rPr>
                  </w:pPr>
                  <w:r>
                    <w:rPr>
                      <w:rFonts w:ascii="宋体" w:hAnsi="宋体"/>
                      <w:szCs w:val="21"/>
                    </w:rPr>
                    <w:t>5</w:t>
                  </w:r>
                </w:p>
              </w:tc>
              <w:tc>
                <w:tcPr>
                  <w:tcW w:w="1134" w:type="dxa"/>
                  <w:tcBorders>
                    <w:top w:val="single" w:color="auto" w:sz="4" w:space="0"/>
                    <w:left w:val="single" w:color="auto" w:sz="4" w:space="0"/>
                    <w:bottom w:val="single" w:color="auto" w:sz="4" w:space="0"/>
                    <w:right w:val="single" w:color="auto" w:sz="4" w:space="0"/>
                  </w:tcBorders>
                  <w:vAlign w:val="center"/>
                </w:tcPr>
                <w:p w14:paraId="5A39961F">
                  <w:pPr>
                    <w:jc w:val="center"/>
                    <w:rPr>
                      <w:rFonts w:ascii="宋体" w:hAnsi="宋体"/>
                      <w:szCs w:val="21"/>
                    </w:rPr>
                  </w:pPr>
                  <w:r>
                    <w:rPr>
                      <w:rFonts w:hint="eastAsia" w:ascii="宋体" w:hAnsi="宋体"/>
                      <w:szCs w:val="21"/>
                    </w:rPr>
                    <w:t>专家打分</w:t>
                  </w:r>
                </w:p>
              </w:tc>
              <w:tc>
                <w:tcPr>
                  <w:tcW w:w="3153" w:type="dxa"/>
                  <w:tcBorders>
                    <w:top w:val="single" w:color="auto" w:sz="4" w:space="0"/>
                    <w:left w:val="single" w:color="auto" w:sz="4" w:space="0"/>
                    <w:bottom w:val="single" w:color="auto" w:sz="4" w:space="0"/>
                    <w:right w:val="single" w:color="auto" w:sz="4" w:space="0"/>
                  </w:tcBorders>
                </w:tcPr>
                <w:p w14:paraId="47E87CB0">
                  <w:pPr>
                    <w:jc w:val="left"/>
                    <w:rPr>
                      <w:rFonts w:ascii="宋体" w:hAnsi="宋体"/>
                      <w:szCs w:val="21"/>
                    </w:rPr>
                  </w:pPr>
                  <w:r>
                    <w:rPr>
                      <w:rFonts w:hint="eastAsia" w:ascii="宋体" w:hAnsi="宋体" w:cs="宋体"/>
                      <w:szCs w:val="21"/>
                    </w:rPr>
                    <w:t>投标人提供所投软件产品经由第三方权威检测机构出具的“软件产品登记测试报告”,提供得</w:t>
                  </w:r>
                  <w:r>
                    <w:rPr>
                      <w:rFonts w:ascii="宋体" w:hAnsi="宋体" w:cs="宋体"/>
                      <w:szCs w:val="21"/>
                    </w:rPr>
                    <w:t>5</w:t>
                  </w:r>
                  <w:r>
                    <w:rPr>
                      <w:rFonts w:hint="eastAsia" w:ascii="宋体" w:hAnsi="宋体" w:cs="宋体"/>
                      <w:szCs w:val="21"/>
                    </w:rPr>
                    <w:t>分，不提供或</w:t>
                  </w:r>
                  <w:r>
                    <w:rPr>
                      <w:rFonts w:ascii="宋体" w:hAnsi="宋体" w:cs="宋体"/>
                      <w:szCs w:val="21"/>
                    </w:rPr>
                    <w:t>提供不符合要求的</w:t>
                  </w:r>
                  <w:r>
                    <w:rPr>
                      <w:rFonts w:hint="eastAsia" w:ascii="宋体" w:hAnsi="宋体" w:cs="宋体"/>
                      <w:szCs w:val="21"/>
                    </w:rPr>
                    <w:t>不得分。</w:t>
                  </w:r>
                </w:p>
              </w:tc>
            </w:tr>
            <w:tr w14:paraId="014BC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0" w:type="auto"/>
                  <w:vMerge w:val="continue"/>
                  <w:tcBorders>
                    <w:left w:val="single" w:color="auto" w:sz="4" w:space="0"/>
                    <w:right w:val="single" w:color="auto" w:sz="4" w:space="0"/>
                  </w:tcBorders>
                  <w:vAlign w:val="center"/>
                </w:tcPr>
                <w:p w14:paraId="1DBEE795">
                  <w:pPr>
                    <w:widowControl/>
                    <w:jc w:val="left"/>
                    <w:rPr>
                      <w:rFonts w:ascii="宋体" w:hAnsi="宋体"/>
                      <w:szCs w:val="21"/>
                    </w:rPr>
                  </w:pPr>
                </w:p>
              </w:tc>
              <w:tc>
                <w:tcPr>
                  <w:tcW w:w="695" w:type="dxa"/>
                  <w:tcBorders>
                    <w:top w:val="single" w:color="auto" w:sz="4" w:space="0"/>
                    <w:left w:val="single" w:color="auto" w:sz="4" w:space="0"/>
                    <w:bottom w:val="single" w:color="auto" w:sz="4" w:space="0"/>
                    <w:right w:val="single" w:color="auto" w:sz="4" w:space="0"/>
                  </w:tcBorders>
                  <w:vAlign w:val="center"/>
                </w:tcPr>
                <w:p w14:paraId="19A3130D">
                  <w:pPr>
                    <w:jc w:val="center"/>
                    <w:rPr>
                      <w:rFonts w:ascii="宋体" w:hAnsi="宋体"/>
                      <w:szCs w:val="21"/>
                    </w:rPr>
                  </w:pPr>
                  <w:r>
                    <w:rPr>
                      <w:rFonts w:hint="eastAsia" w:ascii="宋体" w:hAnsi="宋体"/>
                      <w:szCs w:val="21"/>
                    </w:rPr>
                    <w:t>3</w:t>
                  </w:r>
                </w:p>
              </w:tc>
              <w:tc>
                <w:tcPr>
                  <w:tcW w:w="2226" w:type="dxa"/>
                  <w:tcBorders>
                    <w:top w:val="single" w:color="auto" w:sz="4" w:space="0"/>
                    <w:left w:val="single" w:color="auto" w:sz="4" w:space="0"/>
                    <w:bottom w:val="single" w:color="auto" w:sz="4" w:space="0"/>
                    <w:right w:val="single" w:color="auto" w:sz="4" w:space="0"/>
                  </w:tcBorders>
                  <w:vAlign w:val="center"/>
                </w:tcPr>
                <w:p w14:paraId="2E9F66F0">
                  <w:pPr>
                    <w:ind w:left="525" w:hanging="525" w:hangingChars="250"/>
                    <w:jc w:val="center"/>
                    <w:rPr>
                      <w:rFonts w:ascii="宋体" w:hAnsi="宋体"/>
                      <w:szCs w:val="21"/>
                    </w:rPr>
                  </w:pPr>
                  <w:r>
                    <w:rPr>
                      <w:rFonts w:hint="eastAsia" w:ascii="宋体" w:hAnsi="宋体"/>
                      <w:szCs w:val="21"/>
                    </w:rPr>
                    <w:t>技术解决</w:t>
                  </w:r>
                  <w:r>
                    <w:rPr>
                      <w:rFonts w:ascii="宋体" w:hAnsi="宋体"/>
                      <w:szCs w:val="21"/>
                    </w:rPr>
                    <w:t>方案</w:t>
                  </w:r>
                </w:p>
              </w:tc>
              <w:tc>
                <w:tcPr>
                  <w:tcW w:w="993" w:type="dxa"/>
                  <w:tcBorders>
                    <w:top w:val="single" w:color="auto" w:sz="4" w:space="0"/>
                    <w:left w:val="single" w:color="auto" w:sz="4" w:space="0"/>
                    <w:bottom w:val="single" w:color="auto" w:sz="4" w:space="0"/>
                    <w:right w:val="single" w:color="auto" w:sz="4" w:space="0"/>
                  </w:tcBorders>
                  <w:vAlign w:val="center"/>
                </w:tcPr>
                <w:p w14:paraId="68D89EE8">
                  <w:pPr>
                    <w:jc w:val="center"/>
                    <w:rPr>
                      <w:rFonts w:ascii="宋体" w:hAnsi="宋体"/>
                      <w:szCs w:val="21"/>
                    </w:rPr>
                  </w:pPr>
                  <w:r>
                    <w:rPr>
                      <w:rFonts w:hint="eastAsia" w:ascii="宋体" w:hAnsi="宋体"/>
                      <w:szCs w:val="21"/>
                    </w:rPr>
                    <w:t>5</w:t>
                  </w:r>
                </w:p>
              </w:tc>
              <w:tc>
                <w:tcPr>
                  <w:tcW w:w="1134" w:type="dxa"/>
                  <w:tcBorders>
                    <w:top w:val="single" w:color="auto" w:sz="4" w:space="0"/>
                    <w:left w:val="single" w:color="auto" w:sz="4" w:space="0"/>
                    <w:bottom w:val="single" w:color="auto" w:sz="4" w:space="0"/>
                    <w:right w:val="single" w:color="auto" w:sz="4" w:space="0"/>
                  </w:tcBorders>
                  <w:vAlign w:val="center"/>
                </w:tcPr>
                <w:p w14:paraId="0D17BF91">
                  <w:pPr>
                    <w:jc w:val="center"/>
                    <w:rPr>
                      <w:rFonts w:ascii="宋体" w:hAnsi="宋体"/>
                      <w:szCs w:val="21"/>
                    </w:rPr>
                  </w:pPr>
                  <w:r>
                    <w:rPr>
                      <w:rFonts w:hint="eastAsia" w:ascii="宋体" w:hAnsi="宋体"/>
                      <w:szCs w:val="21"/>
                    </w:rPr>
                    <w:t>专家打分</w:t>
                  </w:r>
                </w:p>
              </w:tc>
              <w:tc>
                <w:tcPr>
                  <w:tcW w:w="3153" w:type="dxa"/>
                  <w:tcBorders>
                    <w:top w:val="single" w:color="auto" w:sz="4" w:space="0"/>
                    <w:left w:val="single" w:color="auto" w:sz="4" w:space="0"/>
                    <w:bottom w:val="single" w:color="auto" w:sz="4" w:space="0"/>
                    <w:right w:val="single" w:color="auto" w:sz="4" w:space="0"/>
                  </w:tcBorders>
                </w:tcPr>
                <w:p w14:paraId="03822736">
                  <w:pPr>
                    <w:jc w:val="left"/>
                    <w:rPr>
                      <w:rFonts w:ascii="宋体" w:hAnsi="宋体" w:cs="宋体"/>
                      <w:szCs w:val="21"/>
                    </w:rPr>
                  </w:pPr>
                  <w:r>
                    <w:rPr>
                      <w:rFonts w:hint="eastAsia" w:ascii="宋体" w:hAnsi="宋体" w:cs="宋体"/>
                      <w:szCs w:val="21"/>
                    </w:rPr>
                    <w:t>根据</w:t>
                  </w:r>
                  <w:r>
                    <w:rPr>
                      <w:rFonts w:hint="eastAsia" w:ascii="宋体" w:hAnsi="宋体"/>
                      <w:szCs w:val="21"/>
                    </w:rPr>
                    <w:t>技术解决</w:t>
                  </w:r>
                  <w:r>
                    <w:rPr>
                      <w:rFonts w:ascii="宋体" w:hAnsi="宋体"/>
                      <w:szCs w:val="21"/>
                    </w:rPr>
                    <w:t>方案</w:t>
                  </w:r>
                  <w:r>
                    <w:rPr>
                      <w:rFonts w:hint="eastAsia" w:ascii="宋体" w:hAnsi="宋体" w:cs="宋体"/>
                      <w:szCs w:val="21"/>
                    </w:rPr>
                    <w:t>整体全面性、具体性、针对性、合理性、可操作性进行评分</w:t>
                  </w:r>
                  <w:r>
                    <w:rPr>
                      <w:rFonts w:hint="eastAsia" w:ascii="宋体" w:hAnsi="宋体"/>
                      <w:szCs w:val="21"/>
                    </w:rPr>
                    <w:t>：评价为优得</w:t>
                  </w:r>
                  <w:r>
                    <w:rPr>
                      <w:rFonts w:ascii="宋体" w:hAnsi="宋体"/>
                      <w:szCs w:val="21"/>
                    </w:rPr>
                    <w:t>5</w:t>
                  </w:r>
                  <w:r>
                    <w:rPr>
                      <w:rFonts w:hint="eastAsia" w:ascii="宋体" w:hAnsi="宋体"/>
                      <w:szCs w:val="21"/>
                    </w:rPr>
                    <w:t>分；评价为良得</w:t>
                  </w:r>
                  <w:r>
                    <w:rPr>
                      <w:rFonts w:ascii="宋体" w:hAnsi="宋体"/>
                      <w:szCs w:val="21"/>
                    </w:rPr>
                    <w:t>3</w:t>
                  </w:r>
                  <w:r>
                    <w:rPr>
                      <w:rFonts w:hint="eastAsia" w:ascii="宋体" w:hAnsi="宋体"/>
                      <w:szCs w:val="21"/>
                    </w:rPr>
                    <w:t>分数；评价为中得</w:t>
                  </w:r>
                  <w:r>
                    <w:rPr>
                      <w:rFonts w:ascii="宋体" w:hAnsi="宋体"/>
                      <w:szCs w:val="21"/>
                    </w:rPr>
                    <w:t>2</w:t>
                  </w:r>
                  <w:r>
                    <w:rPr>
                      <w:rFonts w:hint="eastAsia" w:ascii="宋体" w:hAnsi="宋体"/>
                      <w:szCs w:val="21"/>
                    </w:rPr>
                    <w:t>分数；评价为差不得分。</w:t>
                  </w:r>
                  <w:r>
                    <w:rPr>
                      <w:rFonts w:hint="eastAsia" w:asciiTheme="minorEastAsia" w:hAnsiTheme="minorEastAsia"/>
                      <w:szCs w:val="21"/>
                    </w:rPr>
                    <w:t>要求提供加盖制造商公章的所投产品技术解决方案扫描件</w:t>
                  </w:r>
                  <w:r>
                    <w:rPr>
                      <w:rFonts w:hint="eastAsia" w:cs="宋体" w:asciiTheme="minorEastAsia" w:hAnsiTheme="minorEastAsia"/>
                      <w:color w:val="000000"/>
                      <w:szCs w:val="21"/>
                    </w:rPr>
                    <w:t>，不提供</w:t>
                  </w:r>
                  <w:r>
                    <w:rPr>
                      <w:rFonts w:hint="eastAsia" w:ascii="宋体" w:hAnsi="宋体" w:cs="宋体"/>
                      <w:szCs w:val="21"/>
                    </w:rPr>
                    <w:t>或</w:t>
                  </w:r>
                  <w:r>
                    <w:rPr>
                      <w:rFonts w:ascii="宋体" w:hAnsi="宋体" w:cs="宋体"/>
                      <w:szCs w:val="21"/>
                    </w:rPr>
                    <w:t>提供不符合要求的</w:t>
                  </w:r>
                  <w:r>
                    <w:rPr>
                      <w:rFonts w:hint="eastAsia" w:cs="宋体" w:asciiTheme="minorEastAsia" w:hAnsiTheme="minorEastAsia"/>
                      <w:color w:val="000000"/>
                      <w:szCs w:val="21"/>
                    </w:rPr>
                    <w:t>不得分。</w:t>
                  </w:r>
                </w:p>
              </w:tc>
            </w:tr>
            <w:tr w14:paraId="17352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tcBorders>
                    <w:top w:val="single" w:color="auto" w:sz="4" w:space="0"/>
                    <w:left w:val="single" w:color="auto" w:sz="4" w:space="0"/>
                    <w:bottom w:val="single" w:color="auto" w:sz="4" w:space="0"/>
                    <w:right w:val="single" w:color="auto" w:sz="4" w:space="0"/>
                  </w:tcBorders>
                </w:tcPr>
                <w:p w14:paraId="4A073379">
                  <w:pPr>
                    <w:jc w:val="center"/>
                    <w:rPr>
                      <w:rFonts w:ascii="宋体" w:hAnsi="宋体"/>
                      <w:szCs w:val="21"/>
                    </w:rPr>
                  </w:pPr>
                  <w:r>
                    <w:rPr>
                      <w:rFonts w:ascii="宋体" w:hAnsi="宋体"/>
                      <w:szCs w:val="21"/>
                    </w:rPr>
                    <w:t>3</w:t>
                  </w:r>
                </w:p>
              </w:tc>
              <w:tc>
                <w:tcPr>
                  <w:tcW w:w="5048" w:type="dxa"/>
                  <w:gridSpan w:val="4"/>
                  <w:tcBorders>
                    <w:top w:val="single" w:color="auto" w:sz="4" w:space="0"/>
                    <w:left w:val="single" w:color="auto" w:sz="4" w:space="0"/>
                    <w:bottom w:val="single" w:color="auto" w:sz="4" w:space="0"/>
                    <w:right w:val="single" w:color="auto" w:sz="4" w:space="0"/>
                  </w:tcBorders>
                </w:tcPr>
                <w:p w14:paraId="72713F2F">
                  <w:pPr>
                    <w:jc w:val="center"/>
                    <w:rPr>
                      <w:rFonts w:ascii="宋体" w:hAnsi="宋体"/>
                      <w:szCs w:val="21"/>
                    </w:rPr>
                  </w:pPr>
                  <w:r>
                    <w:rPr>
                      <w:rFonts w:hint="eastAsia" w:ascii="宋体" w:hAnsi="宋体"/>
                      <w:szCs w:val="21"/>
                    </w:rPr>
                    <w:t>商务部分</w:t>
                  </w:r>
                </w:p>
              </w:tc>
              <w:tc>
                <w:tcPr>
                  <w:tcW w:w="3153" w:type="dxa"/>
                  <w:tcBorders>
                    <w:top w:val="single" w:color="auto" w:sz="4" w:space="0"/>
                    <w:left w:val="single" w:color="auto" w:sz="4" w:space="0"/>
                    <w:bottom w:val="single" w:color="auto" w:sz="4" w:space="0"/>
                    <w:right w:val="single" w:color="auto" w:sz="4" w:space="0"/>
                  </w:tcBorders>
                </w:tcPr>
                <w:p w14:paraId="07AD266A">
                  <w:pPr>
                    <w:jc w:val="center"/>
                    <w:rPr>
                      <w:rFonts w:ascii="宋体" w:hAnsi="宋体"/>
                      <w:szCs w:val="21"/>
                    </w:rPr>
                  </w:pPr>
                  <w:r>
                    <w:rPr>
                      <w:rFonts w:ascii="宋体" w:hAnsi="宋体"/>
                      <w:szCs w:val="21"/>
                    </w:rPr>
                    <w:t>15</w:t>
                  </w:r>
                </w:p>
              </w:tc>
            </w:tr>
            <w:tr w14:paraId="614F3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838" w:type="dxa"/>
                  <w:vMerge w:val="restart"/>
                  <w:tcBorders>
                    <w:top w:val="single" w:color="auto" w:sz="4" w:space="0"/>
                    <w:left w:val="single" w:color="auto" w:sz="4" w:space="0"/>
                    <w:right w:val="single" w:color="auto" w:sz="4" w:space="0"/>
                  </w:tcBorders>
                </w:tcPr>
                <w:p w14:paraId="2D4B5353">
                  <w:pPr>
                    <w:jc w:val="center"/>
                    <w:rPr>
                      <w:rFonts w:ascii="宋体" w:hAnsi="宋体"/>
                      <w:szCs w:val="21"/>
                    </w:rPr>
                  </w:pPr>
                </w:p>
              </w:tc>
              <w:tc>
                <w:tcPr>
                  <w:tcW w:w="695" w:type="dxa"/>
                  <w:tcBorders>
                    <w:top w:val="single" w:color="auto" w:sz="4" w:space="0"/>
                    <w:left w:val="single" w:color="auto" w:sz="4" w:space="0"/>
                    <w:bottom w:val="single" w:color="auto" w:sz="4" w:space="0"/>
                    <w:right w:val="single" w:color="auto" w:sz="4" w:space="0"/>
                  </w:tcBorders>
                </w:tcPr>
                <w:p w14:paraId="0A9E2BC3">
                  <w:pPr>
                    <w:jc w:val="center"/>
                    <w:rPr>
                      <w:rFonts w:ascii="宋体" w:hAnsi="宋体"/>
                      <w:szCs w:val="21"/>
                    </w:rPr>
                  </w:pPr>
                  <w:r>
                    <w:rPr>
                      <w:rFonts w:hint="eastAsia" w:ascii="宋体" w:hAnsi="宋体"/>
                      <w:szCs w:val="21"/>
                    </w:rPr>
                    <w:t>序号</w:t>
                  </w:r>
                </w:p>
              </w:tc>
              <w:tc>
                <w:tcPr>
                  <w:tcW w:w="2226" w:type="dxa"/>
                  <w:tcBorders>
                    <w:top w:val="single" w:color="auto" w:sz="4" w:space="0"/>
                    <w:left w:val="single" w:color="auto" w:sz="4" w:space="0"/>
                    <w:bottom w:val="single" w:color="auto" w:sz="4" w:space="0"/>
                    <w:right w:val="single" w:color="auto" w:sz="4" w:space="0"/>
                  </w:tcBorders>
                </w:tcPr>
                <w:p w14:paraId="5E1C3350">
                  <w:pPr>
                    <w:jc w:val="center"/>
                    <w:rPr>
                      <w:rFonts w:ascii="宋体" w:hAnsi="宋体"/>
                      <w:szCs w:val="21"/>
                    </w:rPr>
                  </w:pPr>
                  <w:r>
                    <w:rPr>
                      <w:rFonts w:hint="eastAsia" w:ascii="宋体" w:hAnsi="宋体"/>
                      <w:szCs w:val="21"/>
                    </w:rPr>
                    <w:t>评分因素</w:t>
                  </w:r>
                </w:p>
              </w:tc>
              <w:tc>
                <w:tcPr>
                  <w:tcW w:w="993" w:type="dxa"/>
                  <w:tcBorders>
                    <w:top w:val="single" w:color="auto" w:sz="4" w:space="0"/>
                    <w:left w:val="single" w:color="auto" w:sz="4" w:space="0"/>
                    <w:bottom w:val="single" w:color="auto" w:sz="4" w:space="0"/>
                    <w:right w:val="single" w:color="auto" w:sz="4" w:space="0"/>
                  </w:tcBorders>
                </w:tcPr>
                <w:p w14:paraId="621107B1">
                  <w:pPr>
                    <w:jc w:val="center"/>
                    <w:rPr>
                      <w:rFonts w:ascii="宋体" w:hAnsi="宋体"/>
                      <w:szCs w:val="21"/>
                    </w:rPr>
                  </w:pPr>
                  <w:r>
                    <w:rPr>
                      <w:rFonts w:hint="eastAsia" w:ascii="宋体" w:hAnsi="宋体"/>
                      <w:szCs w:val="21"/>
                    </w:rPr>
                    <w:t>权重</w:t>
                  </w:r>
                </w:p>
              </w:tc>
              <w:tc>
                <w:tcPr>
                  <w:tcW w:w="1134" w:type="dxa"/>
                  <w:tcBorders>
                    <w:top w:val="single" w:color="auto" w:sz="4" w:space="0"/>
                    <w:left w:val="single" w:color="auto" w:sz="4" w:space="0"/>
                    <w:bottom w:val="single" w:color="auto" w:sz="4" w:space="0"/>
                    <w:right w:val="single" w:color="auto" w:sz="4" w:space="0"/>
                  </w:tcBorders>
                </w:tcPr>
                <w:p w14:paraId="62E44ECD">
                  <w:pPr>
                    <w:jc w:val="center"/>
                    <w:rPr>
                      <w:rFonts w:ascii="宋体" w:hAnsi="宋体"/>
                      <w:szCs w:val="21"/>
                    </w:rPr>
                  </w:pPr>
                  <w:r>
                    <w:rPr>
                      <w:rFonts w:hint="eastAsia" w:ascii="宋体" w:hAnsi="宋体"/>
                      <w:szCs w:val="21"/>
                    </w:rPr>
                    <w:t>评分方式</w:t>
                  </w:r>
                </w:p>
              </w:tc>
              <w:tc>
                <w:tcPr>
                  <w:tcW w:w="3153" w:type="dxa"/>
                  <w:tcBorders>
                    <w:top w:val="single" w:color="auto" w:sz="4" w:space="0"/>
                    <w:left w:val="single" w:color="auto" w:sz="4" w:space="0"/>
                    <w:bottom w:val="single" w:color="auto" w:sz="4" w:space="0"/>
                    <w:right w:val="single" w:color="auto" w:sz="4" w:space="0"/>
                  </w:tcBorders>
                </w:tcPr>
                <w:p w14:paraId="3F2DC714">
                  <w:pPr>
                    <w:jc w:val="center"/>
                    <w:rPr>
                      <w:rFonts w:ascii="宋体" w:hAnsi="宋体"/>
                      <w:szCs w:val="21"/>
                    </w:rPr>
                  </w:pPr>
                  <w:r>
                    <w:rPr>
                      <w:rFonts w:hint="eastAsia" w:ascii="宋体" w:hAnsi="宋体"/>
                      <w:szCs w:val="21"/>
                    </w:rPr>
                    <w:t>评分准则</w:t>
                  </w:r>
                </w:p>
              </w:tc>
            </w:tr>
            <w:tr w14:paraId="05CCB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0" w:type="auto"/>
                  <w:vMerge w:val="continue"/>
                  <w:tcBorders>
                    <w:left w:val="single" w:color="auto" w:sz="4" w:space="0"/>
                    <w:right w:val="single" w:color="auto" w:sz="4" w:space="0"/>
                  </w:tcBorders>
                  <w:vAlign w:val="center"/>
                </w:tcPr>
                <w:p w14:paraId="5C86EC87">
                  <w:pPr>
                    <w:widowControl/>
                    <w:jc w:val="left"/>
                    <w:rPr>
                      <w:rFonts w:ascii="宋体" w:hAnsi="宋体"/>
                      <w:szCs w:val="21"/>
                    </w:rPr>
                  </w:pPr>
                </w:p>
              </w:tc>
              <w:tc>
                <w:tcPr>
                  <w:tcW w:w="695" w:type="dxa"/>
                  <w:tcBorders>
                    <w:top w:val="single" w:color="auto" w:sz="4" w:space="0"/>
                    <w:left w:val="single" w:color="auto" w:sz="4" w:space="0"/>
                    <w:bottom w:val="single" w:color="auto" w:sz="4" w:space="0"/>
                    <w:right w:val="single" w:color="auto" w:sz="4" w:space="0"/>
                  </w:tcBorders>
                  <w:vAlign w:val="center"/>
                </w:tcPr>
                <w:p w14:paraId="61A1624E">
                  <w:pPr>
                    <w:jc w:val="center"/>
                    <w:rPr>
                      <w:rFonts w:ascii="宋体" w:hAnsi="宋体"/>
                      <w:szCs w:val="21"/>
                    </w:rPr>
                  </w:pPr>
                  <w:r>
                    <w:rPr>
                      <w:rFonts w:ascii="宋体" w:hAnsi="宋体"/>
                      <w:szCs w:val="21"/>
                    </w:rPr>
                    <w:t>1</w:t>
                  </w:r>
                </w:p>
              </w:tc>
              <w:tc>
                <w:tcPr>
                  <w:tcW w:w="2226" w:type="dxa"/>
                  <w:tcBorders>
                    <w:top w:val="single" w:color="auto" w:sz="4" w:space="0"/>
                    <w:left w:val="single" w:color="auto" w:sz="4" w:space="0"/>
                    <w:bottom w:val="single" w:color="auto" w:sz="4" w:space="0"/>
                    <w:right w:val="single" w:color="auto" w:sz="4" w:space="0"/>
                  </w:tcBorders>
                  <w:vAlign w:val="center"/>
                </w:tcPr>
                <w:p w14:paraId="52C91E73">
                  <w:pPr>
                    <w:jc w:val="center"/>
                    <w:rPr>
                      <w:rFonts w:ascii="宋体" w:hAnsi="宋体"/>
                      <w:szCs w:val="21"/>
                    </w:rPr>
                  </w:pPr>
                  <w:r>
                    <w:rPr>
                      <w:rFonts w:hint="eastAsia" w:ascii="宋体" w:hAnsi="宋体" w:cs="宋体"/>
                      <w:szCs w:val="21"/>
                    </w:rPr>
                    <w:t>商务要求偏离</w:t>
                  </w:r>
                  <w:r>
                    <w:rPr>
                      <w:rFonts w:ascii="宋体" w:hAnsi="宋体"/>
                      <w:szCs w:val="21"/>
                    </w:rPr>
                    <w:t>情况</w:t>
                  </w:r>
                </w:p>
              </w:tc>
              <w:tc>
                <w:tcPr>
                  <w:tcW w:w="993" w:type="dxa"/>
                  <w:tcBorders>
                    <w:top w:val="single" w:color="auto" w:sz="4" w:space="0"/>
                    <w:left w:val="single" w:color="auto" w:sz="4" w:space="0"/>
                    <w:bottom w:val="single" w:color="auto" w:sz="4" w:space="0"/>
                    <w:right w:val="single" w:color="auto" w:sz="4" w:space="0"/>
                  </w:tcBorders>
                  <w:vAlign w:val="center"/>
                </w:tcPr>
                <w:p w14:paraId="47A5D9AD">
                  <w:pPr>
                    <w:jc w:val="center"/>
                    <w:rPr>
                      <w:rFonts w:ascii="宋体" w:hAnsi="宋体"/>
                      <w:szCs w:val="21"/>
                    </w:rPr>
                  </w:pPr>
                  <w:r>
                    <w:rPr>
                      <w:rFonts w:ascii="宋体" w:hAnsi="宋体"/>
                      <w:szCs w:val="21"/>
                    </w:rPr>
                    <w:t>5</w:t>
                  </w:r>
                </w:p>
              </w:tc>
              <w:tc>
                <w:tcPr>
                  <w:tcW w:w="1134" w:type="dxa"/>
                  <w:tcBorders>
                    <w:top w:val="single" w:color="auto" w:sz="4" w:space="0"/>
                    <w:left w:val="single" w:color="auto" w:sz="4" w:space="0"/>
                    <w:bottom w:val="single" w:color="auto" w:sz="4" w:space="0"/>
                    <w:right w:val="single" w:color="auto" w:sz="4" w:space="0"/>
                  </w:tcBorders>
                  <w:vAlign w:val="center"/>
                </w:tcPr>
                <w:p w14:paraId="12C91649">
                  <w:pPr>
                    <w:jc w:val="center"/>
                    <w:rPr>
                      <w:rFonts w:ascii="宋体" w:hAnsi="宋体"/>
                      <w:szCs w:val="21"/>
                    </w:rPr>
                  </w:pPr>
                  <w:r>
                    <w:rPr>
                      <w:rFonts w:hint="eastAsia" w:ascii="宋体" w:hAnsi="宋体"/>
                      <w:szCs w:val="21"/>
                    </w:rPr>
                    <w:t>专家打分</w:t>
                  </w:r>
                </w:p>
              </w:tc>
              <w:tc>
                <w:tcPr>
                  <w:tcW w:w="3153" w:type="dxa"/>
                  <w:tcBorders>
                    <w:top w:val="single" w:color="auto" w:sz="4" w:space="0"/>
                    <w:left w:val="single" w:color="auto" w:sz="4" w:space="0"/>
                    <w:bottom w:val="single" w:color="auto" w:sz="4" w:space="0"/>
                    <w:right w:val="single" w:color="auto" w:sz="4" w:space="0"/>
                  </w:tcBorders>
                  <w:vAlign w:val="center"/>
                </w:tcPr>
                <w:p w14:paraId="751A510B">
                  <w:pPr>
                    <w:jc w:val="left"/>
                    <w:rPr>
                      <w:rFonts w:ascii="宋体" w:hAnsi="宋体"/>
                      <w:szCs w:val="21"/>
                    </w:rPr>
                  </w:pPr>
                  <w:r>
                    <w:rPr>
                      <w:rFonts w:hint="eastAsia" w:ascii="宋体" w:hAnsi="宋体" w:cs="宋体"/>
                      <w:szCs w:val="21"/>
                    </w:rPr>
                    <w:t>投标人应如实填写《商务要求偏离表》，评审委员会根据响应情况进行打分。</w:t>
                  </w:r>
                  <w:r>
                    <w:rPr>
                      <w:rFonts w:hint="eastAsia" w:cs="宋体"/>
                      <w:szCs w:val="21"/>
                    </w:rPr>
                    <w:t>全部满足要求的得100分，</w:t>
                  </w:r>
                  <w:r>
                    <w:rPr>
                      <w:rFonts w:hint="eastAsia" w:ascii="宋体" w:hAnsi="宋体" w:cs="宋体"/>
                      <w:szCs w:val="21"/>
                    </w:rPr>
                    <w:t>每负偏离1项扣25分，扣完为止。</w:t>
                  </w:r>
                </w:p>
              </w:tc>
            </w:tr>
            <w:tr w14:paraId="56C06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0" w:type="auto"/>
                  <w:vMerge w:val="continue"/>
                  <w:tcBorders>
                    <w:left w:val="single" w:color="auto" w:sz="4" w:space="0"/>
                    <w:right w:val="single" w:color="auto" w:sz="4" w:space="0"/>
                  </w:tcBorders>
                  <w:vAlign w:val="center"/>
                </w:tcPr>
                <w:p w14:paraId="32851908">
                  <w:pPr>
                    <w:widowControl/>
                    <w:jc w:val="left"/>
                    <w:rPr>
                      <w:rFonts w:ascii="宋体" w:hAnsi="宋体"/>
                      <w:szCs w:val="21"/>
                    </w:rPr>
                  </w:pPr>
                </w:p>
              </w:tc>
              <w:tc>
                <w:tcPr>
                  <w:tcW w:w="695" w:type="dxa"/>
                  <w:tcBorders>
                    <w:top w:val="single" w:color="auto" w:sz="4" w:space="0"/>
                    <w:left w:val="single" w:color="auto" w:sz="4" w:space="0"/>
                    <w:bottom w:val="single" w:color="auto" w:sz="4" w:space="0"/>
                    <w:right w:val="single" w:color="auto" w:sz="4" w:space="0"/>
                  </w:tcBorders>
                  <w:vAlign w:val="center"/>
                </w:tcPr>
                <w:p w14:paraId="19E6C3CE">
                  <w:pPr>
                    <w:jc w:val="center"/>
                    <w:rPr>
                      <w:rFonts w:ascii="宋体" w:hAnsi="宋体"/>
                      <w:szCs w:val="21"/>
                    </w:rPr>
                  </w:pPr>
                  <w:r>
                    <w:rPr>
                      <w:rFonts w:ascii="宋体" w:hAnsi="宋体"/>
                      <w:szCs w:val="21"/>
                    </w:rPr>
                    <w:t>2</w:t>
                  </w:r>
                </w:p>
              </w:tc>
              <w:tc>
                <w:tcPr>
                  <w:tcW w:w="2226" w:type="dxa"/>
                  <w:tcBorders>
                    <w:top w:val="single" w:color="auto" w:sz="4" w:space="0"/>
                    <w:left w:val="single" w:color="auto" w:sz="4" w:space="0"/>
                    <w:bottom w:val="single" w:color="auto" w:sz="4" w:space="0"/>
                    <w:right w:val="single" w:color="auto" w:sz="4" w:space="0"/>
                  </w:tcBorders>
                  <w:vAlign w:val="center"/>
                </w:tcPr>
                <w:p w14:paraId="6736DCF7">
                  <w:pPr>
                    <w:jc w:val="center"/>
                    <w:rPr>
                      <w:rFonts w:ascii="宋体" w:hAnsi="宋体"/>
                      <w:szCs w:val="21"/>
                    </w:rPr>
                  </w:pPr>
                  <w:r>
                    <w:rPr>
                      <w:rFonts w:hint="eastAsia" w:ascii="宋体" w:hAnsi="宋体"/>
                      <w:szCs w:val="21"/>
                    </w:rPr>
                    <w:t>所投产品的成熟度及可靠性</w:t>
                  </w:r>
                </w:p>
              </w:tc>
              <w:tc>
                <w:tcPr>
                  <w:tcW w:w="993" w:type="dxa"/>
                  <w:tcBorders>
                    <w:top w:val="single" w:color="auto" w:sz="4" w:space="0"/>
                    <w:left w:val="single" w:color="auto" w:sz="4" w:space="0"/>
                    <w:bottom w:val="single" w:color="auto" w:sz="4" w:space="0"/>
                    <w:right w:val="single" w:color="auto" w:sz="4" w:space="0"/>
                  </w:tcBorders>
                  <w:vAlign w:val="center"/>
                </w:tcPr>
                <w:p w14:paraId="706AFEC4">
                  <w:pPr>
                    <w:jc w:val="center"/>
                    <w:rPr>
                      <w:rFonts w:ascii="宋体" w:hAnsi="宋体"/>
                      <w:szCs w:val="21"/>
                    </w:rPr>
                  </w:pPr>
                  <w:r>
                    <w:rPr>
                      <w:rFonts w:hint="eastAsia" w:ascii="宋体" w:hAnsi="宋体"/>
                      <w:szCs w:val="21"/>
                    </w:rPr>
                    <w:t>10</w:t>
                  </w:r>
                </w:p>
              </w:tc>
              <w:tc>
                <w:tcPr>
                  <w:tcW w:w="1134" w:type="dxa"/>
                  <w:tcBorders>
                    <w:top w:val="single" w:color="auto" w:sz="4" w:space="0"/>
                    <w:left w:val="single" w:color="auto" w:sz="4" w:space="0"/>
                    <w:bottom w:val="single" w:color="auto" w:sz="4" w:space="0"/>
                    <w:right w:val="single" w:color="auto" w:sz="4" w:space="0"/>
                  </w:tcBorders>
                  <w:vAlign w:val="center"/>
                </w:tcPr>
                <w:p w14:paraId="17E02AC8">
                  <w:pPr>
                    <w:jc w:val="center"/>
                    <w:rPr>
                      <w:rFonts w:ascii="宋体" w:hAnsi="宋体"/>
                      <w:szCs w:val="21"/>
                    </w:rPr>
                  </w:pPr>
                  <w:r>
                    <w:rPr>
                      <w:rFonts w:hint="eastAsia" w:ascii="宋体" w:hAnsi="宋体"/>
                      <w:szCs w:val="21"/>
                    </w:rPr>
                    <w:t>专家打分</w:t>
                  </w:r>
                </w:p>
              </w:tc>
              <w:tc>
                <w:tcPr>
                  <w:tcW w:w="3153" w:type="dxa"/>
                  <w:tcBorders>
                    <w:top w:val="single" w:color="auto" w:sz="4" w:space="0"/>
                    <w:left w:val="single" w:color="auto" w:sz="4" w:space="0"/>
                    <w:bottom w:val="single" w:color="auto" w:sz="4" w:space="0"/>
                    <w:right w:val="single" w:color="auto" w:sz="4" w:space="0"/>
                  </w:tcBorders>
                </w:tcPr>
                <w:p w14:paraId="63448225">
                  <w:pPr>
                    <w:jc w:val="left"/>
                    <w:rPr>
                      <w:rFonts w:ascii="宋体" w:hAnsi="宋体"/>
                      <w:szCs w:val="21"/>
                    </w:rPr>
                  </w:pPr>
                  <w:r>
                    <w:rPr>
                      <w:rFonts w:hint="eastAsia" w:ascii="宋体" w:hAnsi="宋体"/>
                      <w:szCs w:val="21"/>
                    </w:rPr>
                    <w:t>考察所投产品近三年（从20</w:t>
                  </w:r>
                  <w:r>
                    <w:rPr>
                      <w:rFonts w:ascii="宋体" w:hAnsi="宋体"/>
                      <w:szCs w:val="21"/>
                    </w:rPr>
                    <w:t>21</w:t>
                  </w:r>
                  <w:r>
                    <w:rPr>
                      <w:rFonts w:hint="eastAsia" w:ascii="宋体" w:hAnsi="宋体"/>
                      <w:szCs w:val="21"/>
                    </w:rPr>
                    <w:t>年1月1日至本项目投标截止日，以合同签订时间为准）</w:t>
                  </w:r>
                  <w:r>
                    <w:rPr>
                      <w:rFonts w:ascii="宋体" w:hAnsi="宋体"/>
                      <w:szCs w:val="21"/>
                    </w:rPr>
                    <w:t>的</w:t>
                  </w:r>
                  <w:r>
                    <w:rPr>
                      <w:rFonts w:hint="eastAsia" w:ascii="宋体" w:hAnsi="宋体"/>
                      <w:szCs w:val="21"/>
                    </w:rPr>
                    <w:t>用户使用情况，每提供1个</w:t>
                  </w:r>
                  <w:r>
                    <w:rPr>
                      <w:rFonts w:ascii="宋体" w:hAnsi="宋体"/>
                      <w:szCs w:val="21"/>
                    </w:rPr>
                    <w:t>医院用户</w:t>
                  </w:r>
                  <w:r>
                    <w:rPr>
                      <w:rFonts w:hint="eastAsia" w:ascii="宋体" w:hAnsi="宋体"/>
                      <w:szCs w:val="21"/>
                    </w:rPr>
                    <w:t>业绩得2分</w:t>
                  </w:r>
                  <w:r>
                    <w:rPr>
                      <w:rFonts w:ascii="宋体" w:hAnsi="宋体"/>
                      <w:szCs w:val="21"/>
                    </w:rPr>
                    <w:t>，</w:t>
                  </w:r>
                  <w:r>
                    <w:rPr>
                      <w:rFonts w:hint="eastAsia" w:ascii="宋体" w:hAnsi="宋体"/>
                      <w:szCs w:val="21"/>
                    </w:rPr>
                    <w:t>提供5个</w:t>
                  </w:r>
                  <w:r>
                    <w:rPr>
                      <w:rFonts w:ascii="宋体" w:hAnsi="宋体"/>
                      <w:szCs w:val="21"/>
                    </w:rPr>
                    <w:t>得满分</w:t>
                  </w:r>
                  <w:r>
                    <w:rPr>
                      <w:rFonts w:hint="eastAsia" w:ascii="宋体" w:hAnsi="宋体"/>
                      <w:szCs w:val="21"/>
                    </w:rPr>
                    <w:t>。要求提供</w:t>
                  </w:r>
                  <w:r>
                    <w:rPr>
                      <w:rFonts w:ascii="宋体" w:hAnsi="宋体"/>
                      <w:szCs w:val="21"/>
                    </w:rPr>
                    <w:t>每个业绩的合同</w:t>
                  </w:r>
                  <w:r>
                    <w:rPr>
                      <w:rFonts w:hint="eastAsia" w:ascii="宋体" w:hAnsi="宋体"/>
                      <w:szCs w:val="21"/>
                    </w:rPr>
                    <w:t>关键页</w:t>
                  </w:r>
                  <w:r>
                    <w:rPr>
                      <w:rFonts w:ascii="宋体" w:hAnsi="宋体"/>
                      <w:szCs w:val="21"/>
                    </w:rPr>
                    <w:t>扫描件，原价备查。不提供</w:t>
                  </w:r>
                  <w:r>
                    <w:rPr>
                      <w:rFonts w:hint="eastAsia" w:ascii="宋体" w:hAnsi="宋体"/>
                      <w:szCs w:val="21"/>
                    </w:rPr>
                    <w:t>或</w:t>
                  </w:r>
                  <w:r>
                    <w:rPr>
                      <w:rFonts w:ascii="宋体" w:hAnsi="宋体"/>
                    </w:rPr>
                    <w:t>提供不符合要求</w:t>
                  </w:r>
                  <w:r>
                    <w:rPr>
                      <w:rFonts w:ascii="宋体" w:hAnsi="宋体"/>
                      <w:szCs w:val="21"/>
                    </w:rPr>
                    <w:t>的不得分。</w:t>
                  </w:r>
                </w:p>
              </w:tc>
            </w:tr>
          </w:tbl>
          <w:p w14:paraId="3EE5F6BB">
            <w:pPr>
              <w:rPr>
                <w:b/>
              </w:rPr>
            </w:pPr>
          </w:p>
        </w:tc>
      </w:tr>
    </w:tbl>
    <w:p w14:paraId="312DED0E"/>
    <w:sect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LXQ" w:date="2020-06-17T14:56:00Z" w:initials="">
    <w:p w14:paraId="3CE00DAF">
      <w:pPr>
        <w:pStyle w:val="5"/>
      </w:pPr>
      <w:r>
        <w:rPr>
          <w:rFonts w:hint="eastAsia"/>
        </w:rPr>
        <w:t>此项可按实际要求更改，也可参考本评分项</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CE00DA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76DC98"/>
    <w:multiLevelType w:val="singleLevel"/>
    <w:tmpl w:val="0B76DC98"/>
    <w:lvl w:ilvl="0" w:tentative="0">
      <w:start w:val="1"/>
      <w:numFmt w:val="decimal"/>
      <w:lvlText w:val="%1."/>
      <w:lvlJc w:val="left"/>
      <w:pPr>
        <w:tabs>
          <w:tab w:val="left" w:pos="312"/>
        </w:tabs>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XQ">
    <w15:presenceInfo w15:providerId="None" w15:userId="LXQ"/>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jk3OWU1MzY1OTQ5OTJmMDNkZTgyMmQxZGM1NzFkMjQifQ=="/>
  </w:docVars>
  <w:rsids>
    <w:rsidRoot w:val="1AF064B1"/>
    <w:rsid w:val="00183390"/>
    <w:rsid w:val="002053E8"/>
    <w:rsid w:val="002D19CD"/>
    <w:rsid w:val="003C244C"/>
    <w:rsid w:val="003E7B18"/>
    <w:rsid w:val="00450D41"/>
    <w:rsid w:val="00543336"/>
    <w:rsid w:val="006726DE"/>
    <w:rsid w:val="006840C2"/>
    <w:rsid w:val="006B0E58"/>
    <w:rsid w:val="006D009D"/>
    <w:rsid w:val="006E74EB"/>
    <w:rsid w:val="00717AAD"/>
    <w:rsid w:val="0074767C"/>
    <w:rsid w:val="0083130F"/>
    <w:rsid w:val="008667B7"/>
    <w:rsid w:val="00973C40"/>
    <w:rsid w:val="009F4248"/>
    <w:rsid w:val="00B23260"/>
    <w:rsid w:val="00B30DEA"/>
    <w:rsid w:val="00C07442"/>
    <w:rsid w:val="00C211A8"/>
    <w:rsid w:val="00C33C39"/>
    <w:rsid w:val="00C51F9D"/>
    <w:rsid w:val="00CD237D"/>
    <w:rsid w:val="00E301F5"/>
    <w:rsid w:val="00E732AA"/>
    <w:rsid w:val="00E8518E"/>
    <w:rsid w:val="00EC3361"/>
    <w:rsid w:val="00EF1C0C"/>
    <w:rsid w:val="00F8768B"/>
    <w:rsid w:val="00FC40AC"/>
    <w:rsid w:val="07C70382"/>
    <w:rsid w:val="0ABB1CCE"/>
    <w:rsid w:val="0BD01431"/>
    <w:rsid w:val="1AF064B1"/>
    <w:rsid w:val="24AF72B6"/>
    <w:rsid w:val="489F2C50"/>
    <w:rsid w:val="5080153E"/>
    <w:rsid w:val="5D240C8F"/>
    <w:rsid w:val="735055B0"/>
    <w:rsid w:val="73BA40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6"/>
    <w:qFormat/>
    <w:uiPriority w:val="0"/>
    <w:pPr>
      <w:keepNext/>
      <w:keepLines/>
      <w:spacing w:line="578" w:lineRule="auto"/>
      <w:jc w:val="center"/>
      <w:outlineLvl w:val="0"/>
    </w:pPr>
    <w:rPr>
      <w:b/>
      <w:bCs/>
      <w:kern w:val="44"/>
      <w:sz w:val="44"/>
      <w:szCs w:val="44"/>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line="360" w:lineRule="auto"/>
    </w:pPr>
    <w:rPr>
      <w:b/>
      <w:bCs/>
      <w:sz w:val="24"/>
    </w:rPr>
  </w:style>
  <w:style w:type="paragraph" w:styleId="3">
    <w:name w:val="Body Text 2"/>
    <w:basedOn w:val="1"/>
    <w:qFormat/>
    <w:uiPriority w:val="0"/>
    <w:pPr>
      <w:spacing w:line="360" w:lineRule="auto"/>
    </w:pPr>
    <w:rPr>
      <w:sz w:val="24"/>
    </w:rPr>
  </w:style>
  <w:style w:type="paragraph" w:styleId="5">
    <w:name w:val="annotation text"/>
    <w:basedOn w:val="1"/>
    <w:qFormat/>
    <w:uiPriority w:val="0"/>
    <w:pPr>
      <w:jc w:val="left"/>
    </w:pPr>
  </w:style>
  <w:style w:type="paragraph" w:styleId="6">
    <w:name w:val="Balloon Text"/>
    <w:basedOn w:val="1"/>
    <w:link w:val="19"/>
    <w:uiPriority w:val="0"/>
    <w:rPr>
      <w:sz w:val="18"/>
      <w:szCs w:val="18"/>
    </w:rPr>
  </w:style>
  <w:style w:type="paragraph" w:styleId="7">
    <w:name w:val="footer"/>
    <w:basedOn w:val="1"/>
    <w:link w:val="21"/>
    <w:uiPriority w:val="0"/>
    <w:pPr>
      <w:tabs>
        <w:tab w:val="center" w:pos="4153"/>
        <w:tab w:val="right" w:pos="8306"/>
      </w:tabs>
      <w:snapToGrid w:val="0"/>
      <w:jc w:val="left"/>
    </w:pPr>
    <w:rPr>
      <w:sz w:val="18"/>
      <w:szCs w:val="18"/>
    </w:rPr>
  </w:style>
  <w:style w:type="paragraph" w:styleId="8">
    <w:name w:val="header"/>
    <w:basedOn w:val="1"/>
    <w:link w:val="20"/>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kern w:val="0"/>
      <w:sz w:val="24"/>
    </w:rPr>
  </w:style>
  <w:style w:type="paragraph" w:styleId="10">
    <w:name w:val="Title"/>
    <w:basedOn w:val="1"/>
    <w:next w:val="1"/>
    <w:qFormat/>
    <w:uiPriority w:val="0"/>
    <w:pPr>
      <w:spacing w:before="240" w:after="60"/>
      <w:jc w:val="center"/>
      <w:outlineLvl w:val="0"/>
    </w:pPr>
    <w:rPr>
      <w:rFonts w:ascii="Cambria" w:hAnsi="Cambria"/>
      <w:b/>
      <w:bCs/>
      <w:sz w:val="32"/>
      <w:szCs w:val="32"/>
    </w:rPr>
  </w:style>
  <w:style w:type="character" w:styleId="13">
    <w:name w:val="FollowedHyperlink"/>
    <w:basedOn w:val="12"/>
    <w:qFormat/>
    <w:uiPriority w:val="0"/>
    <w:rPr>
      <w:color w:val="800080"/>
      <w:u w:val="none"/>
    </w:rPr>
  </w:style>
  <w:style w:type="character" w:styleId="14">
    <w:name w:val="Hyperlink"/>
    <w:basedOn w:val="12"/>
    <w:qFormat/>
    <w:uiPriority w:val="0"/>
    <w:rPr>
      <w:color w:val="0000FF"/>
      <w:u w:val="none"/>
    </w:rPr>
  </w:style>
  <w:style w:type="character" w:styleId="15">
    <w:name w:val="annotation reference"/>
    <w:basedOn w:val="12"/>
    <w:uiPriority w:val="0"/>
    <w:rPr>
      <w:sz w:val="21"/>
      <w:szCs w:val="21"/>
    </w:rPr>
  </w:style>
  <w:style w:type="character" w:customStyle="1" w:styleId="16">
    <w:name w:val="标题 1 Char"/>
    <w:basedOn w:val="12"/>
    <w:link w:val="4"/>
    <w:qFormat/>
    <w:uiPriority w:val="0"/>
    <w:rPr>
      <w:rFonts w:ascii="Times New Roman" w:hAnsi="Times New Roman" w:eastAsia="宋体"/>
      <w:b/>
      <w:bCs/>
      <w:kern w:val="44"/>
      <w:sz w:val="44"/>
      <w:szCs w:val="44"/>
    </w:rPr>
  </w:style>
  <w:style w:type="character" w:customStyle="1" w:styleId="17">
    <w:name w:val="layui-this"/>
    <w:basedOn w:val="12"/>
    <w:qFormat/>
    <w:uiPriority w:val="0"/>
    <w:rPr>
      <w:bdr w:val="single" w:color="EEEEEE" w:sz="6" w:space="0"/>
      <w:shd w:val="clear" w:color="auto" w:fill="FFFFFF"/>
    </w:rPr>
  </w:style>
  <w:style w:type="character" w:customStyle="1" w:styleId="18">
    <w:name w:val="first-child"/>
    <w:basedOn w:val="12"/>
    <w:qFormat/>
    <w:uiPriority w:val="0"/>
  </w:style>
  <w:style w:type="character" w:customStyle="1" w:styleId="19">
    <w:name w:val="批注框文本 Char"/>
    <w:basedOn w:val="12"/>
    <w:link w:val="6"/>
    <w:qFormat/>
    <w:uiPriority w:val="0"/>
    <w:rPr>
      <w:kern w:val="2"/>
      <w:sz w:val="18"/>
      <w:szCs w:val="18"/>
    </w:rPr>
  </w:style>
  <w:style w:type="character" w:customStyle="1" w:styleId="20">
    <w:name w:val="页眉 Char"/>
    <w:basedOn w:val="12"/>
    <w:link w:val="8"/>
    <w:uiPriority w:val="0"/>
    <w:rPr>
      <w:kern w:val="2"/>
      <w:sz w:val="18"/>
      <w:szCs w:val="18"/>
    </w:rPr>
  </w:style>
  <w:style w:type="character" w:customStyle="1" w:styleId="21">
    <w:name w:val="页脚 Char"/>
    <w:basedOn w:val="12"/>
    <w:link w:val="7"/>
    <w:uiPriority w:val="0"/>
    <w:rPr>
      <w:kern w:val="2"/>
      <w:sz w:val="18"/>
      <w:szCs w:val="18"/>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3587</Words>
  <Characters>3739</Characters>
  <Lines>27</Lines>
  <Paragraphs>7</Paragraphs>
  <TotalTime>186</TotalTime>
  <ScaleCrop>false</ScaleCrop>
  <LinksUpToDate>false</LinksUpToDate>
  <CharactersWithSpaces>3743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2020-06-17T02:37:00Z</dcterms:created>
  <dc:creator>LXQ</dc:creator>
  <cp:lastModifiedBy>小陈</cp:lastModifiedBy>
  <dcterms:modified xsi:type="dcterms:W3CDTF">2024-11-07T09:12:10Z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355A15546F904ADAA088AAE831D10C47_12</vt:lpwstr>
  </property>
</Properties>
</file>